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pPr>
      <w:r>
        <mc:AlternateContent>
          <mc:Choice Requires="wps">
            <w:drawing>
              <wp:anchor distT="0" distB="0" distL="0" distR="0" simplePos="0" relativeHeight="251659264" behindDoc="0" locked="0" layoutInCell="1" allowOverlap="1">
                <wp:simplePos x="0" y="0"/>
                <wp:positionH relativeFrom="page">
                  <wp:posOffset>713104</wp:posOffset>
                </wp:positionH>
                <wp:positionV relativeFrom="page">
                  <wp:posOffset>1714500</wp:posOffset>
                </wp:positionV>
                <wp:extent cx="1737361" cy="448310"/>
                <wp:effectExtent l="0" t="0" r="0" b="0"/>
                <wp:wrapTopAndBottom distT="0" distB="0"/>
                <wp:docPr id="1073741827" name="officeArt object" descr="Text Box 10"/>
                <wp:cNvGraphicFramePr/>
                <a:graphic xmlns:a="http://schemas.openxmlformats.org/drawingml/2006/main">
                  <a:graphicData uri="http://schemas.microsoft.com/office/word/2010/wordprocessingShape">
                    <wps:wsp>
                      <wps:cNvSpPr/>
                      <wps:spPr>
                        <a:xfrm>
                          <a:off x="0" y="0"/>
                          <a:ext cx="1737361" cy="448310"/>
                        </a:xfrm>
                        <a:prstGeom prst="rect">
                          <a:avLst/>
                        </a:prstGeom>
                        <a:noFill/>
                        <a:ln w="12700" cap="flat">
                          <a:noFill/>
                          <a:miter lim="400000"/>
                        </a:ln>
                        <a:effectLst/>
                      </wps:spPr>
                      <wps:txbx>
                        <w:txbxContent>
                          <w:p>
                            <w:pPr>
                              <w:pStyle w:val="Normal.0"/>
                              <w:jc w:val="left"/>
                            </w:pPr>
                            <w:r>
                              <w:rPr>
                                <w:rFonts w:ascii="Arial" w:hAnsi="Arial"/>
                                <w:sz w:val="36"/>
                                <w:szCs w:val="36"/>
                                <w:rtl w:val="0"/>
                                <w:lang w:val="en-US"/>
                              </w:rPr>
                              <w:t>News Release</w:t>
                            </w:r>
                          </w:p>
                        </w:txbxContent>
                      </wps:txbx>
                      <wps:bodyPr wrap="square" lIns="45719" tIns="45719" rIns="45719" bIns="45719" numCol="1" anchor="t">
                        <a:noAutofit/>
                      </wps:bodyPr>
                    </wps:wsp>
                  </a:graphicData>
                </a:graphic>
              </wp:anchor>
            </w:drawing>
          </mc:Choice>
          <mc:Fallback>
            <w:pict>
              <v:rect id="_x0000_s1026" style="visibility:visible;position:absolute;margin-left:56.1pt;margin-top:135.0pt;width:136.8pt;height:35.3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left"/>
                      </w:pPr>
                      <w:r>
                        <w:rPr>
                          <w:rFonts w:ascii="Arial" w:hAnsi="Arial"/>
                          <w:sz w:val="36"/>
                          <w:szCs w:val="36"/>
                          <w:rtl w:val="0"/>
                          <w:lang w:val="en-US"/>
                        </w:rPr>
                        <w:t>News Release</w:t>
                      </w:r>
                    </w:p>
                  </w:txbxContent>
                </v:textbox>
                <w10:wrap type="topAndBottom" side="bothSides" anchorx="page" anchory="page"/>
              </v:rect>
            </w:pict>
          </mc:Fallback>
        </mc:AlternateContent>
      </w:r>
    </w:p>
    <w:p>
      <w:pPr>
        <w:pStyle w:val="Normal.0"/>
      </w:pPr>
    </w:p>
    <w:p>
      <w:pPr>
        <w:pStyle w:val="No Spacing"/>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Takeda Presents 18-Month Data from Pivotal Phase 3 Trial of Dengue Vaccine Candidate at the American Society of Tropical Medicine and Hygiene (ASTMH) 68</w:t>
      </w:r>
      <w:r>
        <w:rPr>
          <w:rFonts w:ascii="Times New Roman" w:hAnsi="Times New Roman"/>
          <w:b w:val="1"/>
          <w:bCs w:val="1"/>
          <w:sz w:val="24"/>
          <w:szCs w:val="24"/>
          <w:vertAlign w:val="superscript"/>
          <w:rtl w:val="0"/>
          <w:lang w:val="en-US"/>
        </w:rPr>
        <w:t>th</w:t>
      </w:r>
      <w:r>
        <w:rPr>
          <w:rFonts w:ascii="Times New Roman" w:hAnsi="Times New Roman"/>
          <w:b w:val="1"/>
          <w:bCs w:val="1"/>
          <w:sz w:val="24"/>
          <w:szCs w:val="24"/>
          <w:rtl w:val="0"/>
          <w:lang w:val="en-US"/>
        </w:rPr>
        <w:t xml:space="preserve"> Annual Meeting</w:t>
      </w:r>
    </w:p>
    <w:p>
      <w:pPr>
        <w:pStyle w:val="Normal.0"/>
        <w:widowControl w:val="1"/>
        <w:jc w:val="center"/>
        <w:rPr>
          <w:rFonts w:ascii="Times New Roman" w:cs="Times New Roman" w:hAnsi="Times New Roman" w:eastAsia="Times New Roman"/>
          <w:b w:val="1"/>
          <w:bCs w:val="1"/>
          <w:i w:val="1"/>
          <w:iCs w:val="1"/>
          <w:kern w:val="0"/>
          <w:sz w:val="24"/>
          <w:szCs w:val="24"/>
        </w:rPr>
      </w:pPr>
    </w:p>
    <w:p>
      <w:pPr>
        <w:pStyle w:val="List Paragraph"/>
        <w:numPr>
          <w:ilvl w:val="0"/>
          <w:numId w:val="2"/>
        </w:numPr>
        <w:bidi w:val="0"/>
        <w:spacing w:line="340" w:lineRule="exact"/>
        <w:ind w:right="0"/>
        <w:jc w:val="both"/>
        <w:rPr>
          <w:rFonts w:ascii="Times New Roman" w:cs="Times New Roman" w:hAnsi="Times New Roman" w:eastAsia="Times New Roman"/>
          <w:b w:val="1"/>
          <w:bCs w:val="1"/>
          <w:i w:val="1"/>
          <w:iCs w:val="1"/>
          <w:kern w:val="0"/>
          <w:sz w:val="20"/>
          <w:szCs w:val="20"/>
          <w:rtl w:val="0"/>
          <w:lang w:val="en-US"/>
        </w:rPr>
      </w:pPr>
      <w:r>
        <w:rPr>
          <w:rFonts w:ascii="Times New Roman" w:hAnsi="Times New Roman"/>
          <w:b w:val="1"/>
          <w:bCs w:val="1"/>
          <w:i w:val="1"/>
          <w:iCs w:val="1"/>
          <w:kern w:val="0"/>
          <w:sz w:val="20"/>
          <w:szCs w:val="20"/>
          <w:rtl w:val="0"/>
          <w:lang w:val="en-US"/>
        </w:rPr>
        <w:t>Data presented from the pivotal Phase 3 trial include an update on overall efficacy of the vaccine candidate, as well as formal analyses of secondary efficacy endpoints by serotype, baseline serostatus and disease severity</w:t>
      </w:r>
    </w:p>
    <w:p>
      <w:pPr>
        <w:pStyle w:val="List Paragraph"/>
        <w:numPr>
          <w:ilvl w:val="0"/>
          <w:numId w:val="2"/>
        </w:numPr>
        <w:bidi w:val="0"/>
        <w:spacing w:line="340" w:lineRule="exact"/>
        <w:ind w:right="0"/>
        <w:jc w:val="both"/>
        <w:rPr>
          <w:rFonts w:ascii="Times New Roman" w:cs="Times New Roman" w:hAnsi="Times New Roman" w:eastAsia="Times New Roman"/>
          <w:b w:val="1"/>
          <w:bCs w:val="1"/>
          <w:i w:val="1"/>
          <w:iCs w:val="1"/>
          <w:sz w:val="20"/>
          <w:szCs w:val="20"/>
          <w:rtl w:val="0"/>
          <w:lang w:val="en-US"/>
        </w:rPr>
      </w:pPr>
      <w:r>
        <w:rPr>
          <w:rFonts w:ascii="Times New Roman" w:hAnsi="Times New Roman"/>
          <w:b w:val="1"/>
          <w:bCs w:val="1"/>
          <w:i w:val="1"/>
          <w:iCs w:val="1"/>
          <w:sz w:val="20"/>
          <w:szCs w:val="20"/>
          <w:rtl w:val="0"/>
          <w:lang w:val="en-US"/>
        </w:rPr>
        <w:t>18-month results build upon the efficacy and safety data reported in the 12-month analysis; overall vaccine efficacy remained generally consistent and the trial met all secondary endpoints for which there were a sufficient number of cases; safety and efficacy will be assessed over a total of four and a half years</w:t>
      </w:r>
    </w:p>
    <w:p>
      <w:pPr>
        <w:pStyle w:val="List Paragraph"/>
        <w:numPr>
          <w:ilvl w:val="0"/>
          <w:numId w:val="2"/>
        </w:numPr>
        <w:bidi w:val="0"/>
        <w:spacing w:line="340" w:lineRule="exact"/>
        <w:ind w:right="0"/>
        <w:jc w:val="both"/>
        <w:rPr>
          <w:rFonts w:ascii="Times New Roman" w:cs="Times New Roman" w:hAnsi="Times New Roman" w:eastAsia="Times New Roman"/>
          <w:b w:val="1"/>
          <w:bCs w:val="1"/>
          <w:i w:val="1"/>
          <w:iCs w:val="1"/>
          <w:sz w:val="20"/>
          <w:szCs w:val="20"/>
          <w:rtl w:val="0"/>
          <w:lang w:val="en-US"/>
        </w:rPr>
      </w:pPr>
      <w:r>
        <w:rPr>
          <w:rFonts w:ascii="Times New Roman" w:hAnsi="Times New Roman"/>
          <w:b w:val="1"/>
          <w:bCs w:val="1"/>
          <w:i w:val="1"/>
          <w:iCs w:val="1"/>
          <w:kern w:val="0"/>
          <w:sz w:val="20"/>
          <w:szCs w:val="20"/>
          <w:rtl w:val="0"/>
          <w:lang w:val="en-US"/>
        </w:rPr>
        <w:t>Takeda presented 11 abstracts across its vaccine pipeline at ASTMH, including oral presentations on its dengue and Zika vaccine candidates</w:t>
      </w:r>
    </w:p>
    <w:p>
      <w:pPr>
        <w:pStyle w:val="List Paragraph"/>
        <w:spacing w:line="340" w:lineRule="exact"/>
        <w:ind w:left="420" w:firstLine="0"/>
        <w:jc w:val="both"/>
        <w:rPr>
          <w:rFonts w:ascii="Times New Roman" w:cs="Times New Roman" w:hAnsi="Times New Roman" w:eastAsia="Times New Roman"/>
          <w:b w:val="1"/>
          <w:bCs w:val="1"/>
          <w:i w:val="1"/>
          <w:iCs w:val="1"/>
          <w:sz w:val="20"/>
          <w:szCs w:val="20"/>
        </w:rPr>
      </w:pPr>
    </w:p>
    <w:p>
      <w:pPr>
        <w:pStyle w:val="Normal.0"/>
        <w:spacing w:line="360" w:lineRule="exact"/>
        <w:rPr>
          <w:rFonts w:ascii="Times New Roman" w:cs="Times New Roman" w:hAnsi="Times New Roman" w:eastAsia="Times New Roman"/>
          <w:sz w:val="22"/>
          <w:szCs w:val="22"/>
        </w:rPr>
      </w:pPr>
      <w:r>
        <w:rPr>
          <w:rFonts w:ascii="Times New Roman" w:hAnsi="Times New Roman"/>
          <w:b w:val="1"/>
          <w:bCs w:val="1"/>
          <w:rtl w:val="0"/>
          <w:lang w:val="en-US"/>
        </w:rPr>
        <w:t>Cambridge, Mass., and Osaka, Japan, November 23, 2019</w:t>
      </w:r>
      <w:r>
        <w:rPr>
          <w:rFonts w:ascii="Times New Roman" w:hAnsi="Times New Roman" w:hint="default"/>
          <w:b w:val="1"/>
          <w:bCs w:val="1"/>
          <w:sz w:val="22"/>
          <w:szCs w:val="22"/>
          <w:rtl w:val="0"/>
          <w:lang w:val="en-US"/>
        </w:rPr>
        <w:t xml:space="preserve"> –</w:t>
      </w:r>
      <w:r>
        <w:rPr>
          <w:rFonts w:ascii="Times New Roman" w:hAnsi="Times New Roman"/>
          <w:sz w:val="22"/>
          <w:szCs w:val="22"/>
          <w:rtl w:val="0"/>
          <w:lang w:val="en-US"/>
        </w:rPr>
        <w:t xml:space="preserve"> Takeda Pharmaceutical Company Limited </w:t>
      </w:r>
      <w:r>
        <w:rPr>
          <w:rFonts w:ascii="Times New Roman" w:hAnsi="Times New Roman"/>
          <w:spacing w:val="10"/>
          <w:sz w:val="22"/>
          <w:szCs w:val="22"/>
          <w:rtl w:val="0"/>
          <w:lang w:val="en-US"/>
        </w:rPr>
        <w:t>(</w:t>
      </w:r>
      <w:r>
        <w:rPr>
          <w:rStyle w:val="Hyperlink.0"/>
        </w:rPr>
        <w:fldChar w:fldCharType="begin" w:fldLock="0"/>
      </w:r>
      <w:r>
        <w:rPr>
          <w:rStyle w:val="Hyperlink.0"/>
        </w:rPr>
        <w:instrText xml:space="preserve"> HYPERLINK "https://www.takeda.com/investors/"</w:instrText>
      </w:r>
      <w:r>
        <w:rPr>
          <w:rStyle w:val="Hyperlink.0"/>
        </w:rPr>
        <w:fldChar w:fldCharType="separate" w:fldLock="0"/>
      </w:r>
      <w:r>
        <w:rPr>
          <w:rStyle w:val="Hyperlink.0"/>
          <w:rtl w:val="0"/>
          <w:lang w:val="en-US"/>
        </w:rPr>
        <w:t>TSE:4502/NYSE:TAK</w:t>
      </w:r>
      <w:r>
        <w:rPr/>
        <w:fldChar w:fldCharType="end" w:fldLock="0"/>
      </w:r>
      <w:r>
        <w:rPr>
          <w:rFonts w:ascii="Times New Roman" w:hAnsi="Times New Roman"/>
          <w:spacing w:val="10"/>
          <w:sz w:val="22"/>
          <w:szCs w:val="22"/>
          <w:rtl w:val="0"/>
          <w:lang w:val="en-US"/>
        </w:rPr>
        <w:t>)</w:t>
      </w:r>
      <w:r>
        <w:rPr>
          <w:rFonts w:ascii="Times New Roman" w:hAnsi="Times New Roman"/>
          <w:sz w:val="22"/>
          <w:szCs w:val="22"/>
          <w:rtl w:val="0"/>
          <w:lang w:val="en-US"/>
        </w:rPr>
        <w:t xml:space="preserve"> (</w:t>
      </w:r>
      <w:r>
        <w:rPr>
          <w:rFonts w:ascii="Times New Roman" w:hAnsi="Times New Roman" w:hint="default"/>
          <w:sz w:val="22"/>
          <w:szCs w:val="22"/>
          <w:rtl w:val="0"/>
          <w:lang w:val="en-US"/>
        </w:rPr>
        <w:t>“</w:t>
      </w:r>
      <w:r>
        <w:rPr>
          <w:rFonts w:ascii="Times New Roman" w:hAnsi="Times New Roman"/>
          <w:sz w:val="22"/>
          <w:szCs w:val="22"/>
          <w:rtl w:val="0"/>
          <w:lang w:val="en-US"/>
        </w:rPr>
        <w:t>Takeda</w:t>
      </w:r>
      <w:r>
        <w:rPr>
          <w:rFonts w:ascii="Times New Roman" w:hAnsi="Times New Roman" w:hint="default"/>
          <w:sz w:val="22"/>
          <w:szCs w:val="22"/>
          <w:rtl w:val="0"/>
          <w:lang w:val="en-US"/>
        </w:rPr>
        <w:t>”</w:t>
      </w:r>
      <w:r>
        <w:rPr>
          <w:rFonts w:ascii="Times New Roman" w:hAnsi="Times New Roman"/>
          <w:sz w:val="22"/>
          <w:szCs w:val="22"/>
          <w:rtl w:val="0"/>
          <w:lang w:val="en-US"/>
        </w:rPr>
        <w:t xml:space="preserve">) today announced that updated results from the ongoing pivotal </w:t>
      </w: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 xml:space="preserve">Phase 3 </w:t>
      </w:r>
      <w:r>
        <w:rPr>
          <w:rStyle w:val="Hyperlink.1"/>
        </w:rPr>
        <w:fldChar w:fldCharType="begin" w:fldLock="0"/>
      </w:r>
      <w:r>
        <w:rPr>
          <w:rStyle w:val="Hyperlink.1"/>
        </w:rPr>
        <w:instrText xml:space="preserve"> HYPERLINK "https://clinicaltrials.gov/ct2/show/record/NCT02747927?term=den-301&amp;rank=1"</w:instrText>
      </w:r>
      <w:r>
        <w:rPr>
          <w:rStyle w:val="Hyperlink.1"/>
        </w:rPr>
        <w:fldChar w:fldCharType="separate" w:fldLock="0"/>
      </w:r>
      <w:r>
        <w:rPr>
          <w:rStyle w:val="Hyperlink.1"/>
          <w:rtl w:val="0"/>
          <w:lang w:val="en-US"/>
        </w:rPr>
        <w:t>Tetravalent Immunization against Dengue Efficacy Study (TIDES)</w:t>
      </w:r>
      <w:r>
        <w:rPr/>
        <w:fldChar w:fldCharType="end" w:fldLock="0"/>
      </w:r>
      <w:r>
        <w:rPr>
          <w:rFonts w:ascii="Times New Roman" w:hAnsi="Times New Roman"/>
          <w:sz w:val="22"/>
          <w:szCs w:val="22"/>
          <w:rtl w:val="0"/>
          <w:lang w:val="en-US"/>
        </w:rPr>
        <w:t xml:space="preserve"> trial of its dengue vaccine candidate (TAK-003) were presented at the American Society of Tropical Medicine and Hygiene (ASTMH) 68</w:t>
      </w:r>
      <w:r>
        <w:rPr>
          <w:rFonts w:ascii="Times New Roman" w:hAnsi="Times New Roman"/>
          <w:sz w:val="22"/>
          <w:szCs w:val="22"/>
          <w:vertAlign w:val="superscript"/>
          <w:rtl w:val="0"/>
          <w:lang w:val="en-US"/>
        </w:rPr>
        <w:t>th</w:t>
      </w:r>
      <w:r>
        <w:rPr>
          <w:rFonts w:ascii="Times New Roman" w:hAnsi="Times New Roman"/>
          <w:sz w:val="22"/>
          <w:szCs w:val="22"/>
          <w:rtl w:val="0"/>
          <w:lang w:val="en-US"/>
        </w:rPr>
        <w:t xml:space="preserve"> Annual Meeting. The data presented include an update on overall vaccine efficacy (VE) and a formal assessment of secondary efficacy endpoints by serotype, baseline serostatus and disease severity (18 months after the second dose, which was administered three months after the first dose). The TIDES trial met all secondary endpoints for which there were a sufficient number of cases. Overall vaccine efficacy and safety results from the second part of the study were generally consistent with the data reported in the primary endpoint analysis (overall VE was 73.3% [95% confidence interval (CI): 66.5% to 78.8%; p&lt;0.001] in the 18-month analysis, and VE was 80.2% (95% CI: 73.3% to 85.3%) in the primary endpoint analysis [12 months after the second dose]). The primary endpoint analysis of overall VE was recently published in the </w:t>
      </w:r>
      <w:r>
        <w:rPr>
          <w:rStyle w:val="Hyperlink.2"/>
        </w:rPr>
        <w:fldChar w:fldCharType="begin" w:fldLock="0"/>
      </w:r>
      <w:r>
        <w:rPr>
          <w:rStyle w:val="Hyperlink.2"/>
        </w:rPr>
        <w:instrText xml:space="preserve"> HYPERLINK "https://www.nejm.org/doi/full/10.1056/NEJMoa1903869"</w:instrText>
      </w:r>
      <w:r>
        <w:rPr>
          <w:rStyle w:val="Hyperlink.2"/>
        </w:rPr>
        <w:fldChar w:fldCharType="separate" w:fldLock="0"/>
      </w:r>
      <w:r>
        <w:rPr>
          <w:rStyle w:val="Hyperlink.2"/>
          <w:rtl w:val="0"/>
          <w:lang w:val="en-US"/>
        </w:rPr>
        <w:t>New England Journal of Medicine</w:t>
      </w:r>
      <w:r>
        <w:rPr/>
        <w:fldChar w:fldCharType="end" w:fldLock="0"/>
      </w:r>
      <w:r>
        <w:rPr>
          <w:rFonts w:ascii="Times New Roman" w:hAnsi="Times New Roman"/>
          <w:i w:val="1"/>
          <w:iCs w:val="1"/>
          <w:sz w:val="22"/>
          <w:szCs w:val="22"/>
          <w:u w:val="single"/>
          <w:rtl w:val="0"/>
          <w:lang w:val="en-US"/>
        </w:rPr>
        <w:t>,</w:t>
      </w:r>
      <w:r>
        <w:rPr>
          <w:rFonts w:ascii="Times New Roman" w:cs="Times New Roman" w:hAnsi="Times New Roman" w:eastAsia="Times New Roman"/>
          <w:sz w:val="22"/>
          <w:szCs w:val="22"/>
          <w:vertAlign w:val="superscript"/>
        </w:rPr>
        <w:endnoteReference w:id="1"/>
      </w:r>
      <w:r>
        <w:rPr>
          <w:rFonts w:ascii="Times New Roman" w:hAnsi="Times New Roman"/>
          <w:sz w:val="22"/>
          <w:szCs w:val="22"/>
          <w:rtl w:val="0"/>
          <w:lang w:val="en-US"/>
        </w:rPr>
        <w:t xml:space="preserve"> demonstrating protection against virologically-confirmed dengue (VCD) in children ages four to 16 years, regardless of previous exposure to dengue. </w:t>
      </w:r>
    </w:p>
    <w:p>
      <w:pPr>
        <w:pStyle w:val="Normal.0"/>
        <w:spacing w:line="360" w:lineRule="exact"/>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 xml:space="preserve">Assessment of secondary endpoints showed that VE against hospitalized dengue was 90.4% (95% CI: 82.6% to 94.7%; p&lt;0.001) and VE against dengue hemorrhagic fever was 85.9% (95% CI: 31.9% to 97.1%); efficacy against severe VCD could not be determined due to an insufficient number of cases (VE: 2.3% [95% CI: -977.5% to 91.1%). Overall efficacy was similar in baseline seropositive and seronegative individuals (VE: 76.1% [95% CI: 68.5% to 81.9%] vs. VE: 66.2% [95% CI: 49.1% to 77.5%], respectively). Efficacy results varied by individual serotype: VE was 69.8% for dengue serotype 1 (95% CI: 54.8% to 79.9%), 95.1% for dengue serotype 2 (95% CI: 89.9% to 97.6%), and 48.9% for dengue serotype 3 (95% CI: 27.2% to 64.1%). There were an insufficient number of dengue serotype 4 cases to adequately assess efficacy at this time (VE: 51.0% [95% CI: -69.4% to 85.8%]). Efficacy endpoints will continue to be assessed over the course of the trial. </w:t>
      </w:r>
    </w:p>
    <w:p>
      <w:pPr>
        <w:pStyle w:val="Normal.0"/>
        <w:spacing w:line="360" w:lineRule="exact"/>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 xml:space="preserve">Analyses of exploratory endpoints in VCD showed similar VE among seropositive and seronegative individuals for dengue serotype 1 (VE: 72.0% [95% CI: 52.2% to 83.6%] vs. VE: 67.8% [95% CI: 40.3% to 82.6%]) and dengue serotype 2 (VE: 93.7% [95% CI: 86.1% to 97.1%] vs. VE: 98.1% [95% CI: 85.8% to 99.7%]). For dengue serotype 3, VE in seropositive individuals was 61.8% (95% CI: 43.0% to 74.4%), and </w:t>
      </w: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 xml:space="preserve">-68.2% (95% CI: -318.9% to 32.4%) in seronegative individuals. The VE against dengue serotype 3 in seronegative individuals was statistically inconclusive but suggests a lack of efficacy. Efficacy against dengue serotype 4 could not be determined due to a limited number of cases. Planned follow-up will further characterize the performance of the vaccine candidate in dengue serotypes 3 and 4. </w:t>
      </w:r>
    </w:p>
    <w:p>
      <w:pPr>
        <w:pStyle w:val="Normal.0"/>
        <w:spacing w:line="360" w:lineRule="exact"/>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Consistent with previous results, Takeda</w:t>
      </w:r>
      <w:r>
        <w:rPr>
          <w:rFonts w:ascii="Times New Roman" w:hAnsi="Times New Roman" w:hint="default"/>
          <w:sz w:val="22"/>
          <w:szCs w:val="22"/>
          <w:rtl w:val="0"/>
          <w:lang w:val="en-US"/>
        </w:rPr>
        <w:t>’</w:t>
      </w:r>
      <w:r>
        <w:rPr>
          <w:rFonts w:ascii="Times New Roman" w:hAnsi="Times New Roman"/>
          <w:sz w:val="22"/>
          <w:szCs w:val="22"/>
          <w:rtl w:val="0"/>
          <w:lang w:val="en-US"/>
        </w:rPr>
        <w:t>s dengue vaccine candidate was generally well tolerated, and there have been no important safety risks observed to date.</w:t>
      </w: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 xml:space="preserve">  </w:t>
      </w:r>
    </w:p>
    <w:p>
      <w:pPr>
        <w:pStyle w:val="Normal.0"/>
        <w:spacing w:line="360" w:lineRule="exact"/>
        <w:rPr>
          <w:rFonts w:ascii="Times New Roman" w:cs="Times New Roman" w:hAnsi="Times New Roman" w:eastAsia="Times New Roman"/>
          <w:sz w:val="22"/>
          <w:szCs w:val="22"/>
        </w:rPr>
      </w:pPr>
      <w:r>
        <w:rPr>
          <w:rFonts w:ascii="Times New Roman" w:hAnsi="Times New Roman" w:hint="default"/>
          <w:sz w:val="22"/>
          <w:szCs w:val="22"/>
          <w:rtl w:val="0"/>
          <w:lang w:val="en-US"/>
        </w:rPr>
        <w:t>“</w:t>
      </w:r>
      <w:r>
        <w:rPr>
          <w:rFonts w:ascii="Times New Roman" w:hAnsi="Times New Roman"/>
          <w:sz w:val="22"/>
          <w:szCs w:val="22"/>
          <w:rtl w:val="0"/>
          <w:lang w:val="en-US"/>
        </w:rPr>
        <w:t>The 18-month data presented at ASTMH further our understanding of the efficacy and safety of Takeda</w:t>
      </w:r>
      <w:r>
        <w:rPr>
          <w:rFonts w:ascii="Times New Roman" w:hAnsi="Times New Roman" w:hint="default"/>
          <w:sz w:val="22"/>
          <w:szCs w:val="22"/>
          <w:rtl w:val="0"/>
          <w:lang w:val="en-US"/>
        </w:rPr>
        <w:t>’</w:t>
      </w:r>
      <w:r>
        <w:rPr>
          <w:rFonts w:ascii="Times New Roman" w:hAnsi="Times New Roman"/>
          <w:sz w:val="22"/>
          <w:szCs w:val="22"/>
          <w:rtl w:val="0"/>
          <w:lang w:val="en-US"/>
        </w:rPr>
        <w:t>s dengue vaccine candidate,</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said Shibadas Biswal, M.D., Medical Director, Dengue Clinical Development, Takeda, who presented the TIDES data at ASTMH. </w:t>
      </w:r>
      <w:r>
        <w:rPr>
          <w:rFonts w:ascii="Times New Roman" w:hAnsi="Times New Roman" w:hint="default"/>
          <w:sz w:val="22"/>
          <w:szCs w:val="22"/>
          <w:rtl w:val="0"/>
          <w:lang w:val="en-US"/>
        </w:rPr>
        <w:t>“</w:t>
      </w:r>
      <w:r>
        <w:rPr>
          <w:rFonts w:ascii="Times New Roman" w:hAnsi="Times New Roman"/>
          <w:sz w:val="22"/>
          <w:szCs w:val="22"/>
          <w:rtl w:val="0"/>
          <w:lang w:val="en-US"/>
        </w:rPr>
        <w:t>These results are encouraging, and we</w:t>
      </w:r>
      <w:r>
        <w:rPr>
          <w:rFonts w:ascii="Times New Roman" w:hAnsi="Times New Roman" w:hint="default"/>
          <w:sz w:val="22"/>
          <w:szCs w:val="22"/>
          <w:rtl w:val="0"/>
          <w:lang w:val="en-US"/>
        </w:rPr>
        <w:t>’</w:t>
      </w:r>
      <w:r>
        <w:rPr>
          <w:rFonts w:ascii="Times New Roman" w:hAnsi="Times New Roman"/>
          <w:sz w:val="22"/>
          <w:szCs w:val="22"/>
          <w:rtl w:val="0"/>
          <w:lang w:val="en-US"/>
        </w:rPr>
        <w:t>re particularly pleased to see the consistency in overall efficacy as compared to our 12-month analysis, as well as the overall efficacy in seronegative participants. While additional data is needed to fully understand the profile of TAK-003, particularly against serotype 3 in seronegatives, we see its potential to address key priorities for dengue control, including protection of seronegative populations and prevention of hospitalization.</w:t>
      </w:r>
      <w:r>
        <w:rPr>
          <w:rFonts w:ascii="Times New Roman" w:hAnsi="Times New Roman" w:hint="default"/>
          <w:sz w:val="22"/>
          <w:szCs w:val="22"/>
          <w:rtl w:val="0"/>
          <w:lang w:val="en-US"/>
        </w:rPr>
        <w:t>”</w:t>
      </w:r>
    </w:p>
    <w:p>
      <w:pPr>
        <w:pStyle w:val="Normal.0"/>
        <w:spacing w:line="360" w:lineRule="exact"/>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The Phase 3 TIDES trial is ongoing and will continue to assess safety and efficacy of the vaccine candidate in study subjects for a total of four and a half years. Takeda</w:t>
      </w:r>
      <w:r>
        <w:rPr>
          <w:rFonts w:ascii="Times New Roman" w:hAnsi="Times New Roman" w:hint="default"/>
          <w:sz w:val="22"/>
          <w:szCs w:val="22"/>
          <w:rtl w:val="0"/>
          <w:lang w:val="en-US"/>
        </w:rPr>
        <w:t>’</w:t>
      </w:r>
      <w:r>
        <w:rPr>
          <w:rFonts w:ascii="Times New Roman" w:hAnsi="Times New Roman"/>
          <w:sz w:val="22"/>
          <w:szCs w:val="22"/>
          <w:rtl w:val="0"/>
          <w:lang w:val="en-US"/>
        </w:rPr>
        <w:t>s dengue vaccine candidate is not currently licensed anywhere in the world.</w:t>
      </w:r>
      <w:r>
        <w:rPr>
          <w:rFonts w:ascii="Arial Unicode MS" w:cs="Arial Unicode MS" w:hAnsi="Arial Unicode MS" w:eastAsia="Arial Unicode MS"/>
          <w:b w:val="0"/>
          <w:bCs w:val="0"/>
          <w:i w:val="0"/>
          <w:iCs w:val="0"/>
          <w:sz w:val="22"/>
          <w:szCs w:val="22"/>
        </w:rPr>
        <w:br w:type="textWrapping"/>
      </w: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In total, Takeda presented two oral and nine poster presentations at ASTMH, including data for its Zika vaccine candidate from ZIK-101, a randomized, placebo-controlled, double-blind Phase 1 trial designed to evaluate the safety and immunogenicity of the investigational vaccine candidate in 240 male and female subjects between the ages of 18 and 49.</w:t>
      </w:r>
      <w:bookmarkStart w:name="_Ref24973017" w:id="0"/>
      <w:r>
        <w:rPr>
          <w:rFonts w:ascii="Times New Roman" w:cs="Times New Roman" w:hAnsi="Times New Roman" w:eastAsia="Times New Roman"/>
          <w:sz w:val="22"/>
          <w:szCs w:val="22"/>
          <w:vertAlign w:val="superscript"/>
        </w:rPr>
        <w:endnoteReference w:id="2"/>
      </w:r>
      <w:bookmarkEnd w:id="0"/>
      <w:r>
        <w:rPr>
          <w:rFonts w:ascii="Times New Roman" w:hAnsi="Times New Roman"/>
          <w:sz w:val="22"/>
          <w:szCs w:val="22"/>
          <w:rtl w:val="0"/>
          <w:lang w:val="en-US"/>
        </w:rPr>
        <w:t xml:space="preserve"> The Phase 1 trial also assessed different dose levels to support the progression of the vaccine candidate into future studies.</w:t>
      </w:r>
      <w:r>
        <w:rPr>
          <w:rFonts w:ascii="Times New Roman" w:hAnsi="Times New Roman"/>
          <w:sz w:val="22"/>
          <w:szCs w:val="22"/>
          <w:vertAlign w:val="superscript"/>
          <w:rtl w:val="0"/>
          <w:lang w:val="en-US"/>
        </w:rPr>
        <w:t>2</w:t>
      </w:r>
      <w:r>
        <w:rPr>
          <w:rFonts w:ascii="Times New Roman" w:hAnsi="Times New Roman"/>
          <w:sz w:val="22"/>
          <w:szCs w:val="22"/>
          <w:rtl w:val="0"/>
          <w:lang w:val="en-US"/>
        </w:rPr>
        <w:t xml:space="preserve"> Takeda's Zika program is supported by federal funds from Biomedical Advanced Research and Development Authority (BARDA), within the Office of the Assistant Secretary for Preparedness and Response in the U.S. Department of Health and Human Services.</w:t>
      </w:r>
      <w:r>
        <w:rPr>
          <w:rFonts w:ascii="Arial Unicode MS" w:cs="Arial Unicode MS" w:hAnsi="Arial Unicode MS" w:eastAsia="Arial Unicode MS"/>
          <w:b w:val="0"/>
          <w:bCs w:val="0"/>
          <w:i w:val="0"/>
          <w:iCs w:val="0"/>
          <w:sz w:val="22"/>
          <w:szCs w:val="22"/>
        </w:rPr>
        <w:br w:type="textWrapping"/>
      </w:r>
    </w:p>
    <w:p>
      <w:pPr>
        <w:pStyle w:val="Normal.0"/>
        <w:spacing w:line="360" w:lineRule="exact"/>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About the Phase 3 TIDES (DEN-301) Trial</w:t>
      </w: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The double-blind, randomized, placebo-controlled Phase 3 TIDES trial is evaluating the safety and efficacy of two doses of TAK-003 in the prevention of laboratory-confirmed symptomatic dengue fever of any severity and due to any of the four dengue virus serotypes in children and adolescents.</w:t>
      </w:r>
      <w:bookmarkStart w:name="_Ref24305532" w:id="1"/>
      <w:r>
        <w:rPr>
          <w:rFonts w:ascii="Times New Roman" w:cs="Times New Roman" w:hAnsi="Times New Roman" w:eastAsia="Times New Roman"/>
          <w:sz w:val="22"/>
          <w:szCs w:val="22"/>
          <w:vertAlign w:val="superscript"/>
        </w:rPr>
        <w:endnoteReference w:id="3"/>
      </w:r>
      <w:bookmarkEnd w:id="1"/>
      <w:r>
        <w:rPr>
          <w:rFonts w:ascii="Times New Roman" w:hAnsi="Times New Roman"/>
          <w:sz w:val="22"/>
          <w:szCs w:val="22"/>
          <w:rtl w:val="0"/>
          <w:lang w:val="en-US"/>
        </w:rPr>
        <w:t xml:space="preserve"> Study participants were randomly assigned to receive either TAK-003 0.5 mL or placebo by subcutaneous injection on Day 1 and Day 90.</w:t>
      </w:r>
      <w:r>
        <w:rPr>
          <w:rFonts w:ascii="Times New Roman" w:hAnsi="Times New Roman"/>
          <w:sz w:val="22"/>
          <w:szCs w:val="22"/>
          <w:vertAlign w:val="superscript"/>
          <w:rtl w:val="0"/>
          <w:lang w:val="en-US"/>
        </w:rPr>
        <w:t>3</w:t>
      </w:r>
      <w:r>
        <w:rPr>
          <w:rFonts w:ascii="Times New Roman" w:hAnsi="Times New Roman"/>
          <w:sz w:val="22"/>
          <w:szCs w:val="22"/>
          <w:rtl w:val="0"/>
          <w:lang w:val="en-US"/>
        </w:rPr>
        <w:t xml:space="preserve"> The study is comprised of three parts. The primary endpoint analysis evaluated vaccine efficacy (VE) and safety through 15 months after the first dose (12 months after the second dose).</w:t>
      </w:r>
      <w:r>
        <w:rPr>
          <w:rFonts w:ascii="Times New Roman" w:hAnsi="Times New Roman"/>
          <w:sz w:val="22"/>
          <w:szCs w:val="22"/>
          <w:vertAlign w:val="superscript"/>
          <w:rtl w:val="0"/>
          <w:lang w:val="en-US"/>
        </w:rPr>
        <w:t>3</w:t>
      </w:r>
      <w:r>
        <w:rPr>
          <w:rFonts w:ascii="Times New Roman" w:hAnsi="Times New Roman"/>
          <w:sz w:val="22"/>
          <w:szCs w:val="22"/>
          <w:rtl w:val="0"/>
          <w:lang w:val="en-US"/>
        </w:rPr>
        <w:t xml:space="preserve"> The second part of the study continued for an additional six months to complete the assessment of the secondary endpoints of VE by serotype, baseline serostatus and disease severity.</w:t>
      </w:r>
      <w:r>
        <w:rPr>
          <w:rFonts w:ascii="Times New Roman" w:hAnsi="Times New Roman"/>
          <w:sz w:val="22"/>
          <w:szCs w:val="22"/>
          <w:vertAlign w:val="superscript"/>
          <w:rtl w:val="0"/>
          <w:lang w:val="en-US"/>
        </w:rPr>
        <w:t>3</w:t>
      </w:r>
      <w:r>
        <w:rPr>
          <w:rFonts w:ascii="Times New Roman" w:hAnsi="Times New Roman"/>
          <w:sz w:val="22"/>
          <w:szCs w:val="22"/>
          <w:rtl w:val="0"/>
          <w:lang w:val="en-US"/>
        </w:rPr>
        <w:t xml:space="preserve"> The final part of the study evaluates VE and long-term safety by following participants for an additional three years.</w:t>
      </w:r>
      <w:r>
        <w:rPr>
          <w:rFonts w:ascii="Times New Roman" w:hAnsi="Times New Roman"/>
          <w:sz w:val="22"/>
          <w:szCs w:val="22"/>
          <w:vertAlign w:val="superscript"/>
          <w:rtl w:val="0"/>
          <w:lang w:val="en-US"/>
        </w:rPr>
        <w:t>3</w:t>
      </w:r>
      <w:r>
        <w:rPr>
          <w:rFonts w:ascii="Times New Roman" w:hAnsi="Times New Roman"/>
          <w:sz w:val="22"/>
          <w:szCs w:val="22"/>
          <w:rtl w:val="0"/>
          <w:lang w:val="en-US"/>
        </w:rPr>
        <w:t xml:space="preserve"> </w:t>
      </w:r>
    </w:p>
    <w:p>
      <w:pPr>
        <w:pStyle w:val="Normal.0"/>
        <w:spacing w:line="360" w:lineRule="exact"/>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The trial is taking place at sites in dengue-endemic areas in Latin America (Brazil, Colombia, Panama, Dominican Republic and Nicaragua) and Asia (Philippines, Thailand and Sri Lanka) where there are unmet needs in dengue prevention and where severe dengue is a leading cause of serious illness and death among children.</w:t>
      </w:r>
      <w:r>
        <w:rPr>
          <w:rFonts w:ascii="Times New Roman" w:hAnsi="Times New Roman"/>
          <w:sz w:val="22"/>
          <w:szCs w:val="22"/>
          <w:vertAlign w:val="superscript"/>
          <w:rtl w:val="0"/>
          <w:lang w:val="en-US"/>
        </w:rPr>
        <w:t>3</w:t>
      </w:r>
      <w:r>
        <w:rPr>
          <w:rFonts w:ascii="Times New Roman" w:hAnsi="Times New Roman"/>
          <w:sz w:val="22"/>
          <w:szCs w:val="22"/>
          <w:rtl w:val="0"/>
          <w:lang w:val="en-US"/>
        </w:rPr>
        <w:t xml:space="preserve"> Baseline blood samples were collected from all individuals participating in the trial to allow for evaluation of safety and efficacy based on serostatus. Takeda and an independent Data Monitoring Committee of experts are actively monitoring safety on an ongoing basis.</w:t>
      </w:r>
    </w:p>
    <w:p>
      <w:pPr>
        <w:pStyle w:val="Normal.0"/>
        <w:spacing w:line="360" w:lineRule="exact"/>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About TAK-003</w:t>
      </w: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 xml:space="preserve">Takeda's tetravalent dengue vaccine candidate (TAK-003) is based on a live-attenuated dengue serotype 2 virus, which provides the genetic </w:t>
      </w:r>
      <w:r>
        <w:rPr>
          <w:rFonts w:ascii="Times New Roman" w:hAnsi="Times New Roman" w:hint="default"/>
          <w:sz w:val="22"/>
          <w:szCs w:val="22"/>
          <w:rtl w:val="0"/>
          <w:lang w:val="en-US"/>
        </w:rPr>
        <w:t>“</w:t>
      </w:r>
      <w:r>
        <w:rPr>
          <w:rFonts w:ascii="Times New Roman" w:hAnsi="Times New Roman"/>
          <w:sz w:val="22"/>
          <w:szCs w:val="22"/>
          <w:rtl w:val="0"/>
          <w:lang w:val="en-US"/>
        </w:rPr>
        <w:t>backbone</w:t>
      </w:r>
      <w:r>
        <w:rPr>
          <w:rFonts w:ascii="Times New Roman" w:hAnsi="Times New Roman" w:hint="default"/>
          <w:sz w:val="22"/>
          <w:szCs w:val="22"/>
          <w:rtl w:val="0"/>
          <w:lang w:val="en-US"/>
        </w:rPr>
        <w:t xml:space="preserve">” </w:t>
      </w:r>
      <w:r>
        <w:rPr>
          <w:rFonts w:ascii="Times New Roman" w:hAnsi="Times New Roman"/>
          <w:sz w:val="22"/>
          <w:szCs w:val="22"/>
          <w:rtl w:val="0"/>
          <w:lang w:val="en-US"/>
        </w:rPr>
        <w:t>for all four vaccine viruses.</w:t>
      </w:r>
      <w:r>
        <w:rPr>
          <w:rFonts w:ascii="Times New Roman" w:cs="Times New Roman" w:hAnsi="Times New Roman" w:eastAsia="Times New Roman"/>
          <w:sz w:val="22"/>
          <w:szCs w:val="22"/>
          <w:vertAlign w:val="superscript"/>
        </w:rPr>
        <w:endnoteReference w:id="4"/>
      </w:r>
      <w:r>
        <w:rPr>
          <w:rFonts w:ascii="Times New Roman" w:hAnsi="Times New Roman"/>
          <w:sz w:val="22"/>
          <w:szCs w:val="22"/>
          <w:rtl w:val="0"/>
          <w:lang w:val="en-US"/>
        </w:rPr>
        <w:t xml:space="preserve"> Clinical Phase 1 and 2 data in children and adolescents showed that TAK-003 induced immune responses against all four dengue serotypes, in both seropositive and seronegative participants, and the vaccine was found to be generally safe and well tolerated.</w:t>
      </w:r>
      <w:r>
        <w:rPr>
          <w:rFonts w:ascii="Times New Roman" w:cs="Times New Roman" w:hAnsi="Times New Roman" w:eastAsia="Times New Roman"/>
          <w:sz w:val="22"/>
          <w:szCs w:val="22"/>
          <w:vertAlign w:val="superscript"/>
        </w:rPr>
        <w:endnoteReference w:id="5"/>
      </w:r>
      <w:r>
        <w:rPr>
          <w:rFonts w:ascii="Times New Roman" w:hAnsi="Times New Roman"/>
          <w:sz w:val="22"/>
          <w:szCs w:val="22"/>
          <w:vertAlign w:val="superscript"/>
          <w:rtl w:val="0"/>
          <w:lang w:val="en-US"/>
        </w:rPr>
        <w:t>,</w:t>
      </w:r>
      <w:r>
        <w:rPr>
          <w:rFonts w:ascii="Times New Roman" w:cs="Times New Roman" w:hAnsi="Times New Roman" w:eastAsia="Times New Roman"/>
          <w:sz w:val="22"/>
          <w:szCs w:val="22"/>
          <w:vertAlign w:val="superscript"/>
        </w:rPr>
        <w:endnoteReference w:id="6"/>
      </w:r>
      <w:r>
        <w:rPr>
          <w:rFonts w:ascii="Times New Roman" w:hAnsi="Times New Roman"/>
          <w:sz w:val="22"/>
          <w:szCs w:val="22"/>
          <w:vertAlign w:val="superscript"/>
          <w:rtl w:val="0"/>
          <w:lang w:val="en-US"/>
        </w:rPr>
        <w:t>,</w:t>
      </w:r>
      <w:r>
        <w:rPr>
          <w:rFonts w:ascii="Times New Roman" w:cs="Times New Roman" w:hAnsi="Times New Roman" w:eastAsia="Times New Roman"/>
          <w:sz w:val="22"/>
          <w:szCs w:val="22"/>
          <w:vertAlign w:val="superscript"/>
        </w:rPr>
        <w:endnoteReference w:id="7"/>
      </w:r>
      <w:r>
        <w:rPr>
          <w:rFonts w:ascii="Times New Roman" w:hAnsi="Times New Roman"/>
          <w:sz w:val="22"/>
          <w:szCs w:val="22"/>
          <w:vertAlign w:val="superscript"/>
          <w:rtl w:val="0"/>
          <w:lang w:val="en-US"/>
        </w:rPr>
        <w:t>,</w:t>
      </w:r>
      <w:r>
        <w:rPr>
          <w:rFonts w:ascii="Times New Roman" w:cs="Times New Roman" w:hAnsi="Times New Roman" w:eastAsia="Times New Roman"/>
          <w:sz w:val="22"/>
          <w:szCs w:val="22"/>
          <w:vertAlign w:val="superscript"/>
        </w:rPr>
        <w:endnoteReference w:id="8"/>
      </w:r>
      <w:r>
        <w:rPr>
          <w:rFonts w:ascii="Times New Roman" w:hAnsi="Times New Roman"/>
          <w:sz w:val="22"/>
          <w:szCs w:val="22"/>
          <w:vertAlign w:val="superscript"/>
          <w:rtl w:val="0"/>
          <w:lang w:val="en-US"/>
        </w:rPr>
        <w:t xml:space="preserve">     </w:t>
      </w:r>
    </w:p>
    <w:p>
      <w:pPr>
        <w:pStyle w:val="Normal.0"/>
        <w:spacing w:line="360" w:lineRule="exact"/>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About Dengue</w:t>
      </w:r>
    </w:p>
    <w:p>
      <w:pPr>
        <w:pStyle w:val="Normal.0"/>
        <w:spacing w:line="360" w:lineRule="exact"/>
        <w:rPr>
          <w:rFonts w:ascii="Times New Roman" w:cs="Times New Roman" w:hAnsi="Times New Roman" w:eastAsia="Times New Roman"/>
          <w:sz w:val="24"/>
          <w:szCs w:val="24"/>
        </w:rPr>
      </w:pPr>
      <w:r>
        <w:rPr>
          <w:rFonts w:ascii="Times New Roman" w:hAnsi="Times New Roman"/>
          <w:sz w:val="22"/>
          <w:szCs w:val="22"/>
          <w:rtl w:val="0"/>
          <w:lang w:val="en-US"/>
        </w:rPr>
        <w:t>Dengue is the fastest spreading mosquito-borne viral disease and is one of the World Health Organization</w:t>
      </w:r>
      <w:r>
        <w:rPr>
          <w:rFonts w:ascii="Times New Roman" w:hAnsi="Times New Roman" w:hint="default"/>
          <w:sz w:val="22"/>
          <w:szCs w:val="22"/>
          <w:rtl w:val="0"/>
          <w:lang w:val="en-US"/>
        </w:rPr>
        <w:t>’</w:t>
      </w:r>
      <w:r>
        <w:rPr>
          <w:rFonts w:ascii="Times New Roman" w:hAnsi="Times New Roman"/>
          <w:sz w:val="22"/>
          <w:szCs w:val="22"/>
          <w:rtl w:val="0"/>
          <w:lang w:val="en-US"/>
        </w:rPr>
        <w:t>s top 10 threats to global health in 2019.</w:t>
      </w:r>
      <w:bookmarkStart w:name="_Ref21525892" w:id="2"/>
      <w:r>
        <w:rPr>
          <w:rFonts w:ascii="Times New Roman" w:cs="Times New Roman" w:hAnsi="Times New Roman" w:eastAsia="Times New Roman"/>
          <w:sz w:val="22"/>
          <w:szCs w:val="22"/>
          <w:vertAlign w:val="superscript"/>
        </w:rPr>
        <w:endnoteReference w:id="9"/>
      </w:r>
      <w:bookmarkEnd w:id="2"/>
      <w:r>
        <w:rPr>
          <w:rFonts w:ascii="Times New Roman" w:hAnsi="Times New Roman"/>
          <w:sz w:val="22"/>
          <w:szCs w:val="22"/>
          <w:vertAlign w:val="superscript"/>
          <w:rtl w:val="0"/>
          <w:lang w:val="en-US"/>
        </w:rPr>
        <w:t>,</w:t>
      </w:r>
      <w:r>
        <w:rPr>
          <w:rFonts w:ascii="Times New Roman" w:cs="Times New Roman" w:hAnsi="Times New Roman" w:eastAsia="Times New Roman"/>
          <w:sz w:val="22"/>
          <w:szCs w:val="22"/>
          <w:vertAlign w:val="superscript"/>
        </w:rPr>
        <w:endnoteReference w:id="10"/>
      </w:r>
      <w:r>
        <w:rPr>
          <w:rFonts w:ascii="Times New Roman" w:hAnsi="Times New Roman"/>
          <w:sz w:val="22"/>
          <w:szCs w:val="22"/>
          <w:vertAlign w:val="superscript"/>
          <w:rtl w:val="0"/>
          <w:lang w:val="en-US"/>
        </w:rPr>
        <w:t xml:space="preserve"> </w:t>
      </w:r>
      <w:r>
        <w:rPr>
          <w:rFonts w:ascii="Times New Roman" w:hAnsi="Times New Roman"/>
          <w:sz w:val="22"/>
          <w:szCs w:val="22"/>
          <w:rtl w:val="0"/>
          <w:lang w:val="en-US"/>
        </w:rPr>
        <w:t xml:space="preserve">Dengue is mainly spread by </w:t>
      </w:r>
      <w:r>
        <w:rPr>
          <w:rFonts w:ascii="Times New Roman" w:hAnsi="Times New Roman"/>
          <w:i w:val="1"/>
          <w:iCs w:val="1"/>
          <w:sz w:val="22"/>
          <w:szCs w:val="22"/>
          <w:rtl w:val="0"/>
          <w:lang w:val="en-US"/>
        </w:rPr>
        <w:t>Aedes aegypti</w:t>
      </w:r>
      <w:r>
        <w:rPr>
          <w:rFonts w:ascii="Times New Roman" w:hAnsi="Times New Roman"/>
          <w:sz w:val="22"/>
          <w:szCs w:val="22"/>
          <w:rtl w:val="0"/>
          <w:lang w:val="en-US"/>
        </w:rPr>
        <w:t xml:space="preserve"> mosquitoes and, to a lesser extent, </w:t>
      </w:r>
      <w:r>
        <w:rPr>
          <w:rFonts w:ascii="Times New Roman" w:hAnsi="Times New Roman"/>
          <w:i w:val="1"/>
          <w:iCs w:val="1"/>
          <w:sz w:val="22"/>
          <w:szCs w:val="22"/>
          <w:rtl w:val="0"/>
          <w:lang w:val="en-US"/>
        </w:rPr>
        <w:t>Aedes albopictus</w:t>
      </w:r>
      <w:r>
        <w:rPr>
          <w:rFonts w:ascii="Times New Roman" w:hAnsi="Times New Roman"/>
          <w:sz w:val="22"/>
          <w:szCs w:val="22"/>
          <w:rtl w:val="0"/>
          <w:lang w:val="en-US"/>
        </w:rPr>
        <w:t xml:space="preserve"> mosquitoes. It is caused by any of four dengue virus serotypes, each of which can cause dengue fever or severe dengue.</w:t>
      </w:r>
      <w:r>
        <w:rPr>
          <w:rFonts w:ascii="Times New Roman" w:hAnsi="Times New Roman"/>
          <w:sz w:val="22"/>
          <w:szCs w:val="22"/>
          <w:vertAlign w:val="superscript"/>
          <w:rtl w:val="0"/>
          <w:lang w:val="en-US"/>
        </w:rPr>
        <w:t xml:space="preserve">9 </w:t>
      </w:r>
      <w:r>
        <w:rPr>
          <w:rFonts w:ascii="Times New Roman" w:hAnsi="Times New Roman"/>
          <w:sz w:val="22"/>
          <w:szCs w:val="22"/>
          <w:rtl w:val="0"/>
          <w:lang w:val="en-US"/>
        </w:rPr>
        <w:t>The prevalence of individual serotypes varies across different geographies, countries, regions, seasons and over time.</w:t>
      </w:r>
      <w:r>
        <w:rPr>
          <w:rFonts w:ascii="Times New Roman" w:hAnsi="Times New Roman"/>
          <w:sz w:val="22"/>
          <w:szCs w:val="22"/>
          <w:vertAlign w:val="superscript"/>
          <w:rtl w:val="0"/>
          <w:lang w:val="en-US"/>
        </w:rPr>
        <w:t>9,</w:t>
      </w:r>
      <w:bookmarkStart w:name="_Ref24306118" w:id="3"/>
      <w:r>
        <w:rPr>
          <w:rFonts w:ascii="Times New Roman" w:cs="Times New Roman" w:hAnsi="Times New Roman" w:eastAsia="Times New Roman"/>
          <w:sz w:val="22"/>
          <w:szCs w:val="22"/>
          <w:vertAlign w:val="superscript"/>
        </w:rPr>
        <w:endnoteReference w:id="11"/>
      </w:r>
      <w:bookmarkEnd w:id="3"/>
      <w:r>
        <w:rPr>
          <w:rFonts w:ascii="Times New Roman" w:hAnsi="Times New Roman"/>
          <w:sz w:val="22"/>
          <w:szCs w:val="22"/>
          <w:rtl w:val="0"/>
          <w:lang w:val="en-US"/>
        </w:rPr>
        <w:t xml:space="preserve"> Recovery from infection by one serotype provides lifelong immunity against only that serotype, and later exposure to any of the remaining serotypes is associated with an increased risk of severe disease.</w:t>
      </w:r>
      <w:r>
        <w:rPr>
          <w:rFonts w:ascii="Times New Roman" w:hAnsi="Times New Roman"/>
          <w:sz w:val="22"/>
          <w:szCs w:val="22"/>
          <w:vertAlign w:val="superscript"/>
          <w:rtl w:val="0"/>
          <w:lang w:val="en-US"/>
        </w:rPr>
        <w:t>9</w:t>
      </w:r>
      <w:r>
        <w:rPr>
          <w:rFonts w:ascii="Times New Roman" w:hAnsi="Times New Roman"/>
          <w:sz w:val="24"/>
          <w:szCs w:val="24"/>
          <w:vertAlign w:val="superscript"/>
          <w:rtl w:val="0"/>
          <w:lang w:val="en-US"/>
        </w:rPr>
        <w:t xml:space="preserve"> </w:t>
      </w:r>
      <w:r>
        <w:rPr>
          <w:rFonts w:ascii="Arial Unicode MS" w:cs="Arial Unicode MS" w:hAnsi="Arial Unicode MS" w:eastAsia="Arial Unicode MS"/>
          <w:b w:val="0"/>
          <w:bCs w:val="0"/>
          <w:i w:val="0"/>
          <w:iCs w:val="0"/>
          <w:sz w:val="24"/>
          <w:szCs w:val="24"/>
        </w:rPr>
        <w:br w:type="textWrapping"/>
      </w: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Dengue is pandemic prone, and outbreaks are observed in tropical and sub-tropical areas and have recently caused outbreaks in parts of the continental U.S. and Europe.</w:t>
      </w:r>
      <w:r>
        <w:rPr>
          <w:rFonts w:ascii="Times New Roman" w:hAnsi="Times New Roman"/>
          <w:sz w:val="22"/>
          <w:szCs w:val="22"/>
          <w:vertAlign w:val="superscript"/>
          <w:rtl w:val="0"/>
          <w:lang w:val="en-US"/>
        </w:rPr>
        <w:t>9,</w:t>
      </w:r>
      <w:r>
        <w:rPr>
          <w:rFonts w:ascii="Times New Roman" w:cs="Times New Roman" w:hAnsi="Times New Roman" w:eastAsia="Times New Roman"/>
          <w:sz w:val="22"/>
          <w:szCs w:val="22"/>
          <w:vertAlign w:val="superscript"/>
        </w:rPr>
        <w:endnoteReference w:id="12"/>
      </w:r>
      <w:r>
        <w:rPr>
          <w:rFonts w:ascii="Times New Roman" w:hAnsi="Times New Roman"/>
          <w:sz w:val="22"/>
          <w:szCs w:val="22"/>
          <w:vertAlign w:val="superscript"/>
          <w:rtl w:val="0"/>
          <w:lang w:val="en-US"/>
        </w:rPr>
        <w:t>,</w:t>
      </w:r>
      <w:r>
        <w:rPr>
          <w:rFonts w:ascii="Times New Roman" w:cs="Times New Roman" w:hAnsi="Times New Roman" w:eastAsia="Times New Roman"/>
          <w:sz w:val="22"/>
          <w:szCs w:val="22"/>
          <w:vertAlign w:val="superscript"/>
        </w:rPr>
        <w:endnoteReference w:id="13"/>
      </w:r>
      <w:r>
        <w:rPr>
          <w:rFonts w:ascii="Times New Roman" w:hAnsi="Times New Roman"/>
          <w:sz w:val="22"/>
          <w:szCs w:val="22"/>
          <w:vertAlign w:val="superscript"/>
          <w:rtl w:val="0"/>
          <w:lang w:val="en-US"/>
        </w:rPr>
        <w:t xml:space="preserve"> </w:t>
      </w:r>
      <w:r>
        <w:rPr>
          <w:rFonts w:ascii="Times New Roman" w:hAnsi="Times New Roman"/>
          <w:sz w:val="22"/>
          <w:szCs w:val="22"/>
          <w:rtl w:val="0"/>
          <w:lang w:val="en-US"/>
        </w:rPr>
        <w:t>Approximately half of the world now lives under the threat of dengue, which is estimated to cause 390 million infections and 20,000 deaths globally each year.</w:t>
      </w:r>
      <w:r>
        <w:rPr>
          <w:rFonts w:ascii="Times New Roman" w:hAnsi="Times New Roman"/>
          <w:sz w:val="22"/>
          <w:szCs w:val="22"/>
          <w:vertAlign w:val="superscript"/>
          <w:rtl w:val="0"/>
          <w:lang w:val="en-US"/>
        </w:rPr>
        <w:t>8,</w:t>
      </w:r>
      <w:r>
        <w:rPr>
          <w:rFonts w:ascii="Times New Roman" w:cs="Times New Roman" w:hAnsi="Times New Roman" w:eastAsia="Times New Roman"/>
          <w:sz w:val="22"/>
          <w:szCs w:val="22"/>
          <w:vertAlign w:val="superscript"/>
        </w:rPr>
        <w:endnoteReference w:id="14"/>
      </w:r>
      <w:r>
        <w:rPr>
          <w:rFonts w:ascii="Times New Roman" w:hAnsi="Times New Roman"/>
          <w:sz w:val="22"/>
          <w:szCs w:val="22"/>
          <w:vertAlign w:val="superscript"/>
          <w:rtl w:val="0"/>
          <w:lang w:val="en-US"/>
        </w:rPr>
        <w:t xml:space="preserve"> </w:t>
      </w:r>
      <w:r>
        <w:rPr>
          <w:rFonts w:ascii="Times New Roman" w:hAnsi="Times New Roman"/>
          <w:sz w:val="22"/>
          <w:szCs w:val="22"/>
          <w:rtl w:val="0"/>
          <w:lang w:val="en-US"/>
        </w:rPr>
        <w:t>The dengue virus can infect people of all ages and is a leading cause of serious illness among children in some countries in Latin America and Asia.</w:t>
      </w:r>
      <w:r>
        <w:rPr>
          <w:rFonts w:ascii="Times New Roman" w:hAnsi="Times New Roman"/>
          <w:sz w:val="22"/>
          <w:szCs w:val="22"/>
          <w:vertAlign w:val="superscript"/>
          <w:rtl w:val="0"/>
          <w:lang w:val="en-US"/>
        </w:rPr>
        <w:t xml:space="preserve">9  </w:t>
      </w:r>
    </w:p>
    <w:p>
      <w:pPr>
        <w:pStyle w:val="Normal.0"/>
        <w:spacing w:line="360" w:lineRule="exact"/>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Takeda</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 xml:space="preserve">s Commitment to Vaccines </w:t>
      </w:r>
    </w:p>
    <w:p>
      <w:pPr>
        <w:pStyle w:val="Normal.0"/>
        <w:spacing w:line="360" w:lineRule="exact"/>
        <w:rPr>
          <w:rFonts w:ascii="Times New Roman" w:cs="Times New Roman" w:hAnsi="Times New Roman" w:eastAsia="Times New Roman"/>
          <w:sz w:val="22"/>
          <w:szCs w:val="22"/>
        </w:rPr>
      </w:pPr>
      <w:r>
        <w:rPr>
          <w:rFonts w:ascii="Times New Roman" w:hAnsi="Times New Roman"/>
          <w:sz w:val="22"/>
          <w:szCs w:val="22"/>
          <w:rtl w:val="0"/>
          <w:lang w:val="en-US"/>
        </w:rPr>
        <w:t>Vaccines prevent 2 to 3 million deaths each year and have transformed global public health.</w:t>
      </w:r>
      <w:r>
        <w:rPr>
          <w:rFonts w:ascii="Times New Roman" w:cs="Times New Roman" w:hAnsi="Times New Roman" w:eastAsia="Times New Roman"/>
          <w:sz w:val="22"/>
          <w:szCs w:val="22"/>
          <w:vertAlign w:val="superscript"/>
        </w:rPr>
        <w:endnoteReference w:id="15"/>
      </w:r>
      <w:r>
        <w:rPr>
          <w:rFonts w:ascii="Times New Roman" w:hAnsi="Times New Roman"/>
          <w:sz w:val="22"/>
          <w:szCs w:val="22"/>
          <w:vertAlign w:val="superscript"/>
          <w:rtl w:val="0"/>
          <w:lang w:val="en-US"/>
        </w:rPr>
        <w:t xml:space="preserve"> </w:t>
      </w:r>
      <w:r>
        <w:rPr>
          <w:rFonts w:ascii="Times New Roman" w:hAnsi="Times New Roman"/>
          <w:sz w:val="22"/>
          <w:szCs w:val="22"/>
          <w:rtl w:val="0"/>
          <w:lang w:val="en-US"/>
        </w:rPr>
        <w:t>For the past 70 years, Takeda has supplied vaccines to protect the health of people in Japan. Today, Takeda</w:t>
      </w:r>
      <w:r>
        <w:rPr>
          <w:rFonts w:ascii="Times New Roman" w:hAnsi="Times New Roman" w:hint="default"/>
          <w:sz w:val="22"/>
          <w:szCs w:val="22"/>
          <w:rtl w:val="0"/>
          <w:lang w:val="en-US"/>
        </w:rPr>
        <w:t>’</w:t>
      </w:r>
      <w:r>
        <w:rPr>
          <w:rFonts w:ascii="Times New Roman" w:hAnsi="Times New Roman"/>
          <w:sz w:val="22"/>
          <w:szCs w:val="22"/>
          <w:rtl w:val="0"/>
          <w:lang w:val="en-US"/>
        </w:rPr>
        <w:t>s global vaccine business is applying innovation to tackle some of the world</w:t>
      </w:r>
      <w:r>
        <w:rPr>
          <w:rFonts w:ascii="Times New Roman" w:hAnsi="Times New Roman" w:hint="default"/>
          <w:sz w:val="22"/>
          <w:szCs w:val="22"/>
          <w:rtl w:val="0"/>
          <w:lang w:val="en-US"/>
        </w:rPr>
        <w:t>’</w:t>
      </w:r>
      <w:r>
        <w:rPr>
          <w:rFonts w:ascii="Times New Roman" w:hAnsi="Times New Roman"/>
          <w:sz w:val="22"/>
          <w:szCs w:val="22"/>
          <w:rtl w:val="0"/>
          <w:lang w:val="en-US"/>
        </w:rPr>
        <w:t>s most challenging infectious diseases, such as dengue, Zika and norovirus. Our team brings an outstanding track record and a wealth of knowledge in vaccine development, manufacturing and global access to advance a pipeline of vaccines to address some of the world</w:t>
      </w:r>
      <w:r>
        <w:rPr>
          <w:rFonts w:ascii="Times New Roman" w:hAnsi="Times New Roman" w:hint="default"/>
          <w:sz w:val="22"/>
          <w:szCs w:val="22"/>
          <w:rtl w:val="0"/>
          <w:lang w:val="en-US"/>
        </w:rPr>
        <w:t>’</w:t>
      </w:r>
      <w:r>
        <w:rPr>
          <w:rFonts w:ascii="Times New Roman" w:hAnsi="Times New Roman"/>
          <w:sz w:val="22"/>
          <w:szCs w:val="22"/>
          <w:rtl w:val="0"/>
          <w:lang w:val="en-US"/>
        </w:rPr>
        <w:t xml:space="preserve">s most pressing public health needs. For more information, visit </w:t>
      </w:r>
      <w:r>
        <w:rPr>
          <w:rStyle w:val="Hyperlink.1"/>
        </w:rPr>
        <w:fldChar w:fldCharType="begin" w:fldLock="0"/>
      </w:r>
      <w:r>
        <w:rPr>
          <w:rStyle w:val="Hyperlink.1"/>
        </w:rPr>
        <w:instrText xml:space="preserve"> HYPERLINK "http://www.TakedaVaccines.com"</w:instrText>
      </w:r>
      <w:r>
        <w:rPr>
          <w:rStyle w:val="Hyperlink.1"/>
        </w:rPr>
        <w:fldChar w:fldCharType="separate" w:fldLock="0"/>
      </w:r>
      <w:r>
        <w:rPr>
          <w:rStyle w:val="Hyperlink.1"/>
          <w:rtl w:val="0"/>
          <w:lang w:val="en-US"/>
        </w:rPr>
        <w:t>www.TakedaVaccines.com</w:t>
      </w:r>
      <w:r>
        <w:rPr/>
        <w:fldChar w:fldCharType="end" w:fldLock="0"/>
      </w:r>
      <w:r>
        <w:rPr>
          <w:rFonts w:ascii="Times New Roman" w:hAnsi="Times New Roman"/>
          <w:sz w:val="22"/>
          <w:szCs w:val="22"/>
          <w:rtl w:val="0"/>
          <w:lang w:val="en-US"/>
        </w:rPr>
        <w:t xml:space="preserve">. </w:t>
      </w:r>
    </w:p>
    <w:p>
      <w:pPr>
        <w:pStyle w:val="Normal.0"/>
        <w:spacing w:line="360" w:lineRule="exact"/>
        <w:rPr>
          <w:rFonts w:ascii="Times New Roman" w:cs="Times New Roman" w:hAnsi="Times New Roman" w:eastAsia="Times New Roman"/>
          <w:sz w:val="22"/>
          <w:szCs w:val="22"/>
        </w:rPr>
      </w:pPr>
    </w:p>
    <w:p>
      <w:pPr>
        <w:pStyle w:val="Normal.0"/>
        <w:spacing w:line="340" w:lineRule="exact"/>
        <w:rPr>
          <w:rFonts w:ascii="Times New Roman" w:cs="Times New Roman" w:hAnsi="Times New Roman" w:eastAsia="Times New Roman"/>
          <w:b w:val="1"/>
          <w:bCs w:val="1"/>
          <w:spacing w:val="10"/>
          <w:sz w:val="22"/>
          <w:szCs w:val="22"/>
        </w:rPr>
      </w:pPr>
      <w:r>
        <w:rPr>
          <w:rFonts w:ascii="Times New Roman" w:hAnsi="Times New Roman"/>
          <w:b w:val="1"/>
          <w:bCs w:val="1"/>
          <w:spacing w:val="10"/>
          <w:sz w:val="22"/>
          <w:szCs w:val="22"/>
          <w:rtl w:val="0"/>
          <w:lang w:val="en-US"/>
        </w:rPr>
        <w:t>About Takeda Pharmaceutical Company Limited</w:t>
      </w:r>
    </w:p>
    <w:p>
      <w:pPr>
        <w:pStyle w:val="Normal.0"/>
        <w:spacing w:line="340" w:lineRule="exact"/>
        <w:rPr>
          <w:rFonts w:ascii="Times New Roman" w:cs="Times New Roman" w:hAnsi="Times New Roman" w:eastAsia="Times New Roman"/>
          <w:spacing w:val="10"/>
          <w:sz w:val="22"/>
          <w:szCs w:val="22"/>
        </w:rPr>
      </w:pPr>
      <w:r>
        <w:rPr>
          <w:rFonts w:ascii="Times New Roman" w:hAnsi="Times New Roman"/>
          <w:spacing w:val="10"/>
          <w:sz w:val="22"/>
          <w:szCs w:val="22"/>
          <w:rtl w:val="0"/>
          <w:lang w:val="en-US"/>
        </w:rPr>
        <w:t>Takeda Pharmaceutical Company Limited (</w:t>
      </w:r>
      <w:r>
        <w:rPr>
          <w:rStyle w:val="Hyperlink.0"/>
        </w:rPr>
        <w:fldChar w:fldCharType="begin" w:fldLock="0"/>
      </w:r>
      <w:r>
        <w:rPr>
          <w:rStyle w:val="Hyperlink.0"/>
        </w:rPr>
        <w:instrText xml:space="preserve"> HYPERLINK "https://www.takeda.com/investors/"</w:instrText>
      </w:r>
      <w:r>
        <w:rPr>
          <w:rStyle w:val="Hyperlink.0"/>
        </w:rPr>
        <w:fldChar w:fldCharType="separate" w:fldLock="0"/>
      </w:r>
      <w:r>
        <w:rPr>
          <w:rStyle w:val="Hyperlink.0"/>
          <w:rtl w:val="0"/>
          <w:lang w:val="en-US"/>
        </w:rPr>
        <w:t>TSE:4502/NYSE:TAK</w:t>
      </w:r>
      <w:r>
        <w:rPr/>
        <w:fldChar w:fldCharType="end" w:fldLock="0"/>
      </w:r>
      <w:r>
        <w:rPr>
          <w:rFonts w:ascii="Times New Roman" w:hAnsi="Times New Roman"/>
          <w:spacing w:val="10"/>
          <w:sz w:val="22"/>
          <w:szCs w:val="22"/>
          <w:rtl w:val="0"/>
          <w:lang w:val="en-US"/>
        </w:rPr>
        <w:t>) is a global, values-based, R&amp;D-driven biopharmaceutical leader headquartered in Japan, committed to bringing Better Health and a Brighter Future to patients by translating science into highly-innovative medicines. Takeda focuses its R&amp;D efforts on four therapeutic areas:</w:t>
      </w:r>
      <w:r>
        <w:rPr>
          <w:rtl w:val="0"/>
          <w:lang w:val="en-US"/>
        </w:rPr>
        <w:t xml:space="preserve"> </w:t>
      </w:r>
      <w:r>
        <w:rPr>
          <w:rFonts w:ascii="Times New Roman" w:hAnsi="Times New Roman"/>
          <w:spacing w:val="10"/>
          <w:sz w:val="22"/>
          <w:szCs w:val="22"/>
          <w:rtl w:val="0"/>
          <w:lang w:val="en-US"/>
        </w:rPr>
        <w:t>Oncology, Rare Diseases, Neuroscience, and Gastroenterology (GI). We also make targeted R&amp;D investments in Plasma-Derived Therapies and Vaccines. We are focusing on developing highly innovative medicines that contribute to making a difference in people's lives by advancing the frontier of new treatment options and leveraging our enhanced collaborative R&amp;D engine and capabilities to create a robust, modality-diverse pipeline. Our employees are committed to improving quality of life for patients and to working with our partners in health care in approximately 80 countries.</w:t>
      </w:r>
    </w:p>
    <w:p>
      <w:pPr>
        <w:pStyle w:val="Normal.0"/>
        <w:spacing w:line="360" w:lineRule="exact"/>
        <w:rPr>
          <w:rFonts w:ascii="Times New Roman" w:cs="Times New Roman" w:hAnsi="Times New Roman" w:eastAsia="Times New Roman"/>
          <w:sz w:val="22"/>
          <w:szCs w:val="22"/>
        </w:rPr>
      </w:pPr>
      <w:r>
        <w:rPr>
          <w:rFonts w:ascii="Times New Roman" w:hAnsi="Times New Roman"/>
          <w:spacing w:val="10"/>
          <w:sz w:val="22"/>
          <w:szCs w:val="22"/>
          <w:rtl w:val="0"/>
          <w:lang w:val="en-US"/>
        </w:rPr>
        <w:t xml:space="preserve">For more information, visit </w:t>
      </w:r>
      <w:r>
        <w:rPr>
          <w:rStyle w:val="Hyperlink.0"/>
        </w:rPr>
        <w:fldChar w:fldCharType="begin" w:fldLock="0"/>
      </w:r>
      <w:r>
        <w:rPr>
          <w:rStyle w:val="Hyperlink.0"/>
        </w:rPr>
        <w:instrText xml:space="preserve"> HYPERLINK "https://www.takeda.com/"</w:instrText>
      </w:r>
      <w:r>
        <w:rPr>
          <w:rStyle w:val="Hyperlink.0"/>
        </w:rPr>
        <w:fldChar w:fldCharType="separate" w:fldLock="0"/>
      </w:r>
      <w:r>
        <w:rPr>
          <w:rStyle w:val="Hyperlink.0"/>
          <w:rtl w:val="0"/>
          <w:lang w:val="en-US"/>
        </w:rPr>
        <w:t>https://www.takeda.com</w:t>
      </w:r>
      <w:r>
        <w:rPr/>
        <w:fldChar w:fldCharType="end" w:fldLock="0"/>
      </w:r>
      <w:r>
        <w:rPr>
          <w:rtl w:val="0"/>
          <w:lang w:val="en-US"/>
        </w:rPr>
        <w:t>.</w:t>
      </w:r>
    </w:p>
    <w:p>
      <w:pPr>
        <w:pStyle w:val="Normal.0"/>
        <w:spacing w:line="360" w:lineRule="exact"/>
        <w:rPr>
          <w:rFonts w:ascii="Times New Roman" w:cs="Times New Roman" w:hAnsi="Times New Roman" w:eastAsia="Times New Roman"/>
          <w:sz w:val="22"/>
          <w:szCs w:val="22"/>
        </w:rPr>
      </w:pPr>
    </w:p>
    <w:p>
      <w:pPr>
        <w:pStyle w:val="Normal.0"/>
        <w:spacing w:line="340" w:lineRule="exact"/>
        <w:jc w:val="center"/>
        <w:rPr>
          <w:rFonts w:ascii="Times New Roman" w:cs="Times New Roman" w:hAnsi="Times New Roman" w:eastAsia="Times New Roman"/>
          <w:sz w:val="22"/>
          <w:szCs w:val="22"/>
        </w:rPr>
      </w:pPr>
      <w:r>
        <w:rPr>
          <w:rFonts w:ascii="Times New Roman" w:hAnsi="Times New Roman"/>
          <w:sz w:val="22"/>
          <w:szCs w:val="22"/>
          <w:rtl w:val="0"/>
          <w:lang w:val="en-US"/>
        </w:rPr>
        <w:t>###</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4"/>
        <w:gridCol w:w="4814"/>
      </w:tblGrid>
      <w:tr>
        <w:tblPrEx>
          <w:shd w:val="clear" w:color="auto" w:fill="ced7e7"/>
        </w:tblPrEx>
        <w:trPr>
          <w:trHeight w:val="241" w:hRule="atLeast"/>
        </w:trPr>
        <w:tc>
          <w:tcPr>
            <w:tcW w:type="dxa" w:w="4814"/>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b w:val="1"/>
                <w:bCs w:val="1"/>
                <w:caps w:val="0"/>
                <w:smallCaps w:val="0"/>
                <w:strike w:val="0"/>
                <w:dstrike w:val="0"/>
                <w:outline w:val="0"/>
                <w:color w:val="000000"/>
                <w:spacing w:val="0"/>
                <w:kern w:val="0"/>
                <w:position w:val="0"/>
                <w:sz w:val="22"/>
                <w:szCs w:val="22"/>
                <w:u w:val="none" w:color="000000"/>
                <w:vertAlign w:val="baseline"/>
                <w:rtl w:val="0"/>
                <w:lang w:val="en-US"/>
              </w:rPr>
              <w:t>Media Contacts:</w:t>
            </w:r>
          </w:p>
        </w:tc>
        <w:tc>
          <w:tcPr>
            <w:tcW w:type="dxa" w:w="4814"/>
            <w:tcBorders>
              <w:top w:val="single" w:color="000000"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61" w:hRule="atLeast"/>
        </w:trPr>
        <w:tc>
          <w:tcPr>
            <w:tcW w:type="dxa" w:w="481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P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s-ES_tradnl"/>
              </w:rPr>
              <w:t>Japanese Media</w:t>
            </w:r>
          </w:p>
          <w:p>
            <w:pPr>
              <w:pStyle w:val="Normal.0"/>
              <w:bidi w:val="0"/>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rP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s-ES_tradnl"/>
              </w:rPr>
              <w:t>Kazumi Kobayashi</w:t>
            </w:r>
          </w:p>
          <w:p>
            <w:pPr>
              <w:pStyle w:val="Normal.0"/>
              <w:bidi w:val="0"/>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rPr>
            </w:pPr>
            <w:r>
              <w:rPr>
                <w:rStyle w:val="Hyperlink.5"/>
                <w:rFonts w:ascii="Times New Roman" w:cs="Times New Roman" w:hAnsi="Times New Roman" w:eastAsia="Times New Roman"/>
                <w:caps w:val="0"/>
                <w:smallCaps w:val="0"/>
                <w:strike w:val="0"/>
                <w:dstrike w:val="0"/>
                <w:outline w:val="0"/>
                <w:spacing w:val="0"/>
                <w:kern w:val="0"/>
                <w:position w:val="0"/>
                <w:sz w:val="22"/>
                <w:szCs w:val="22"/>
                <w:vertAlign w:val="baseline"/>
                <w:lang w:val="es-ES_tradnl"/>
              </w:rPr>
              <w:fldChar w:fldCharType="begin" w:fldLock="0"/>
            </w:r>
            <w:r>
              <w:rPr>
                <w:rStyle w:val="Hyperlink.5"/>
                <w:rFonts w:ascii="Times New Roman" w:cs="Times New Roman" w:hAnsi="Times New Roman" w:eastAsia="Times New Roman"/>
                <w:caps w:val="0"/>
                <w:smallCaps w:val="0"/>
                <w:strike w:val="0"/>
                <w:dstrike w:val="0"/>
                <w:outline w:val="0"/>
                <w:spacing w:val="0"/>
                <w:kern w:val="0"/>
                <w:position w:val="0"/>
                <w:sz w:val="22"/>
                <w:szCs w:val="22"/>
                <w:vertAlign w:val="baseline"/>
                <w:lang w:val="es-ES_tradnl"/>
              </w:rPr>
              <w:instrText xml:space="preserve"> HYPERLINK "mailto:kazumi.kobayashi@takeda.com"</w:instrText>
            </w:r>
            <w:r>
              <w:rPr>
                <w:rStyle w:val="Hyperlink.5"/>
                <w:rFonts w:ascii="Times New Roman" w:cs="Times New Roman" w:hAnsi="Times New Roman" w:eastAsia="Times New Roman"/>
                <w:caps w:val="0"/>
                <w:smallCaps w:val="0"/>
                <w:strike w:val="0"/>
                <w:dstrike w:val="0"/>
                <w:outline w:val="0"/>
                <w:spacing w:val="0"/>
                <w:kern w:val="0"/>
                <w:position w:val="0"/>
                <w:sz w:val="22"/>
                <w:szCs w:val="22"/>
                <w:vertAlign w:val="baseline"/>
                <w:lang w:val="es-ES_tradnl"/>
              </w:rPr>
              <w:fldChar w:fldCharType="separate" w:fldLock="0"/>
            </w:r>
            <w:r>
              <w:rPr>
                <w:rStyle w:val="Hyperlink.5"/>
                <w:rFonts w:ascii="Times New Roman" w:hAnsi="Times New Roman"/>
                <w:caps w:val="0"/>
                <w:smallCaps w:val="0"/>
                <w:strike w:val="0"/>
                <w:dstrike w:val="0"/>
                <w:outline w:val="0"/>
                <w:spacing w:val="0"/>
                <w:kern w:val="0"/>
                <w:position w:val="0"/>
                <w:sz w:val="22"/>
                <w:szCs w:val="22"/>
                <w:vertAlign w:val="baseline"/>
                <w:rtl w:val="0"/>
                <w:lang w:val="es-ES_tradnl"/>
              </w:rPr>
              <w:t>kazumi.kobayashi@takeda.com</w:t>
            </w:r>
            <w:r>
              <w:rPr>
                <w:rFonts w:ascii="Times New Roman" w:cs="Times New Roman" w:hAnsi="Times New Roman" w:eastAsia="Times New Roman"/>
                <w:kern w:val="0"/>
                <w:sz w:val="22"/>
                <w:szCs w:val="22"/>
              </w:rPr>
              <w:fldChar w:fldCharType="end" w:fldLock="0"/>
            </w:r>
          </w:p>
          <w:p>
            <w:pPr>
              <w:pStyle w:val="Normal.0"/>
              <w:bidi w:val="0"/>
              <w:ind w:left="0" w:right="0" w:firstLine="0"/>
              <w:jc w:val="both"/>
              <w:rPr>
                <w:rtl w:val="0"/>
              </w:rP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+81 (0) 3 3278 2095</w:t>
            </w:r>
          </w:p>
        </w:tc>
        <w:tc>
          <w:tcPr>
            <w:tcW w:type="dxa" w:w="4814"/>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P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Media outside Japan</w:t>
            </w:r>
          </w:p>
          <w:p>
            <w:pPr>
              <w:pStyle w:val="Normal.0"/>
              <w:bidi w:val="0"/>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rP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Rachel Wiese</w:t>
            </w:r>
          </w:p>
          <w:p>
            <w:pPr>
              <w:pStyle w:val="Normal.0"/>
              <w:bidi w:val="0"/>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rPr>
            </w:pPr>
            <w:r>
              <w:rPr>
                <w:rStyle w:val="Hyperlink.6"/>
                <w:rFonts w:ascii="Times New Roman" w:cs="Times New Roman" w:hAnsi="Times New Roman" w:eastAsia="Times New Roman"/>
                <w:caps w:val="0"/>
                <w:smallCaps w:val="0"/>
                <w:strike w:val="0"/>
                <w:dstrike w:val="0"/>
                <w:outline w:val="0"/>
                <w:spacing w:val="0"/>
                <w:kern w:val="0"/>
                <w:position w:val="0"/>
                <w:sz w:val="22"/>
                <w:szCs w:val="22"/>
                <w:vertAlign w:val="baseline"/>
                <w:lang w:val="en-US"/>
              </w:rPr>
              <w:fldChar w:fldCharType="begin" w:fldLock="0"/>
            </w:r>
            <w:r>
              <w:rPr>
                <w:rStyle w:val="Hyperlink.6"/>
                <w:rFonts w:ascii="Times New Roman" w:cs="Times New Roman" w:hAnsi="Times New Roman" w:eastAsia="Times New Roman"/>
                <w:caps w:val="0"/>
                <w:smallCaps w:val="0"/>
                <w:strike w:val="0"/>
                <w:dstrike w:val="0"/>
                <w:outline w:val="0"/>
                <w:spacing w:val="0"/>
                <w:kern w:val="0"/>
                <w:position w:val="0"/>
                <w:sz w:val="22"/>
                <w:szCs w:val="22"/>
                <w:vertAlign w:val="baseline"/>
                <w:lang w:val="en-US"/>
              </w:rPr>
              <w:instrText xml:space="preserve"> HYPERLINK "mailto:rachel.wiese@takeda.com"</w:instrText>
            </w:r>
            <w:r>
              <w:rPr>
                <w:rStyle w:val="Hyperlink.6"/>
                <w:rFonts w:ascii="Times New Roman" w:cs="Times New Roman" w:hAnsi="Times New Roman" w:eastAsia="Times New Roman"/>
                <w:caps w:val="0"/>
                <w:smallCaps w:val="0"/>
                <w:strike w:val="0"/>
                <w:dstrike w:val="0"/>
                <w:outline w:val="0"/>
                <w:spacing w:val="0"/>
                <w:kern w:val="0"/>
                <w:position w:val="0"/>
                <w:sz w:val="22"/>
                <w:szCs w:val="22"/>
                <w:vertAlign w:val="baseline"/>
                <w:lang w:val="en-US"/>
              </w:rPr>
              <w:fldChar w:fldCharType="separate" w:fldLock="0"/>
            </w:r>
            <w:r>
              <w:rPr>
                <w:rStyle w:val="Hyperlink.6"/>
                <w:rFonts w:ascii="Times New Roman" w:hAnsi="Times New Roman"/>
                <w:caps w:val="0"/>
                <w:smallCaps w:val="0"/>
                <w:strike w:val="0"/>
                <w:dstrike w:val="0"/>
                <w:outline w:val="0"/>
                <w:spacing w:val="0"/>
                <w:kern w:val="0"/>
                <w:position w:val="0"/>
                <w:sz w:val="22"/>
                <w:szCs w:val="22"/>
                <w:vertAlign w:val="baseline"/>
                <w:rtl w:val="0"/>
                <w:lang w:val="en-US"/>
              </w:rPr>
              <w:t>rachel.wiese@takeda.com</w:t>
            </w:r>
            <w:r>
              <w:rPr>
                <w:rFonts w:ascii="Times New Roman" w:cs="Times New Roman" w:hAnsi="Times New Roman" w:eastAsia="Times New Roman"/>
                <w:kern w:val="0"/>
                <w:sz w:val="22"/>
                <w:szCs w:val="22"/>
              </w:rPr>
              <w:fldChar w:fldCharType="end" w:fldLock="0"/>
            </w: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0"/>
              <w:bidi w:val="0"/>
              <w:ind w:left="0" w:right="0" w:firstLine="0"/>
              <w:jc w:val="both"/>
              <w:rPr>
                <w:rtl w:val="0"/>
              </w:rPr>
            </w:pPr>
            <w:r>
              <w:rPr>
                <w:rFonts w:ascii="Times New Roman" w:hAnsi="Times New Roman"/>
                <w:caps w:val="0"/>
                <w:smallCaps w:val="0"/>
                <w:strike w:val="0"/>
                <w:dstrike w:val="0"/>
                <w:outline w:val="0"/>
                <w:color w:val="000000"/>
                <w:spacing w:val="0"/>
                <w:kern w:val="0"/>
                <w:position w:val="0"/>
                <w:sz w:val="22"/>
                <w:szCs w:val="22"/>
                <w:u w:val="none" w:color="000000"/>
                <w:vertAlign w:val="baseline"/>
                <w:rtl w:val="0"/>
                <w:lang w:val="es-ES_tradnl"/>
              </w:rPr>
              <w:t>+1 617 444 1452</w:t>
            </w:r>
          </w:p>
        </w:tc>
      </w:tr>
    </w:tbl>
    <w:p>
      <w:pPr>
        <w:pStyle w:val="Normal.0"/>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sz w:val="22"/>
          <w:szCs w:val="22"/>
        </w:rPr>
      </w:pPr>
    </w:p>
    <w:p>
      <w:pPr>
        <w:pStyle w:val="Normal.0"/>
        <w:spacing w:line="360" w:lineRule="exact"/>
        <w:rPr>
          <w:rFonts w:ascii="Times New Roman" w:cs="Times New Roman" w:hAnsi="Times New Roman" w:eastAsia="Times New Roman"/>
          <w:sz w:val="22"/>
          <w:szCs w:val="22"/>
        </w:rPr>
      </w:pPr>
    </w:p>
    <w:p>
      <w:pPr>
        <w:pStyle w:val="Normal.0"/>
        <w:rPr>
          <w:rFonts w:ascii="Times New Roman" w:cs="Times New Roman" w:hAnsi="Times New Roman" w:eastAsia="Times New Roman"/>
          <w:b w:val="1"/>
          <w:bCs w:val="1"/>
          <w:sz w:val="22"/>
          <w:szCs w:val="22"/>
          <w:u w:val="single"/>
        </w:rPr>
      </w:pPr>
    </w:p>
    <w:p>
      <w:pPr>
        <w:pStyle w:val="Normal.0"/>
      </w:pPr>
      <w:r>
        <w:rPr>
          <w:rFonts w:ascii="Times New Roman" w:hAnsi="Times New Roman"/>
          <w:b w:val="1"/>
          <w:bCs w:val="1"/>
          <w:sz w:val="22"/>
          <w:szCs w:val="22"/>
          <w:u w:val="single"/>
          <w:rtl w:val="0"/>
          <w:lang w:val="en-US"/>
        </w:rPr>
        <w:t>References</w:t>
      </w:r>
    </w:p>
    <w:sectPr>
      <w:headerReference w:type="default" r:id="rId4"/>
      <w:headerReference w:type="first" r:id="rId5"/>
      <w:footerReference w:type="default" r:id="rId6"/>
      <w:footerReference w:type="first" r:id="rId7"/>
      <w:pgSz w:w="11900" w:h="16840" w:orient="portrait"/>
      <w:pgMar w:top="1134" w:right="1134" w:bottom="1134" w:left="1134" w:header="851" w:footer="567"/>
      <w:titlePg w:val="1"/>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endnote text"/>
        <w:ind w:left="180" w:hanging="180"/>
      </w:pPr>
      <w:r>
        <w:rPr>
          <w:rFonts w:ascii="Times New Roman" w:cs="Times New Roman" w:hAnsi="Times New Roman" w:eastAsia="Times New Roman"/>
          <w:sz w:val="22"/>
          <w:szCs w:val="22"/>
          <w:vertAlign w:val="superscript"/>
        </w:rPr>
        <w:endnoteRef/>
      </w:r>
      <w:r>
        <w:rPr>
          <w:rtl w:val="0"/>
          <w:lang w:val="en-US"/>
        </w:rPr>
        <w:t xml:space="preserve"> </w:t>
      </w:r>
      <w:r>
        <w:rPr>
          <w:rFonts w:ascii="Times New Roman" w:hAnsi="Times New Roman"/>
          <w:rtl w:val="0"/>
          <w:lang w:val="en-US"/>
        </w:rPr>
        <w:t xml:space="preserve">Biswal S, et al. </w:t>
      </w:r>
      <w:r>
        <w:rPr>
          <w:rStyle w:val="Hyperlink.3"/>
        </w:rPr>
        <w:fldChar w:fldCharType="begin" w:fldLock="0"/>
      </w:r>
      <w:r>
        <w:rPr>
          <w:rStyle w:val="Hyperlink.3"/>
        </w:rPr>
        <w:instrText xml:space="preserve"> HYPERLINK "https://www.nejm.org/doi/full/10.1056/NEJMoa1903869"</w:instrText>
      </w:r>
      <w:r>
        <w:rPr>
          <w:rStyle w:val="Hyperlink.3"/>
        </w:rPr>
        <w:fldChar w:fldCharType="separate" w:fldLock="0"/>
      </w:r>
      <w:r>
        <w:rPr>
          <w:rStyle w:val="Hyperlink.3"/>
          <w:rtl w:val="0"/>
          <w:lang w:val="en-US"/>
        </w:rPr>
        <w:t>Efficacy of a tetravalent dengue vaccine in healthy children and adolescents</w:t>
      </w:r>
      <w:r>
        <w:rPr/>
        <w:fldChar w:fldCharType="end" w:fldLock="0"/>
      </w:r>
      <w:r>
        <w:rPr>
          <w:rFonts w:ascii="Times New Roman" w:hAnsi="Times New Roman"/>
          <w:rtl w:val="0"/>
          <w:lang w:val="en-US"/>
        </w:rPr>
        <w:t xml:space="preserve">. </w:t>
      </w:r>
      <w:r>
        <w:rPr>
          <w:rFonts w:ascii="Times New Roman" w:hAnsi="Times New Roman"/>
          <w:i w:val="1"/>
          <w:iCs w:val="1"/>
          <w:rtl w:val="0"/>
          <w:lang w:val="en-US"/>
        </w:rPr>
        <w:t>N Engl J Med</w:t>
      </w:r>
      <w:r>
        <w:rPr>
          <w:rFonts w:ascii="Times New Roman" w:hAnsi="Times New Roman"/>
          <w:rtl w:val="0"/>
          <w:lang w:val="en-US"/>
        </w:rPr>
        <w:t>. 2019; Retrieved November 2019.</w:t>
      </w:r>
    </w:p>
  </w:endnote>
  <w:endnote w:id="2">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ClinicalTrials.gov. </w:t>
      </w:r>
      <w:r>
        <w:rPr>
          <w:rStyle w:val="Hyperlink.3"/>
        </w:rPr>
        <w:fldChar w:fldCharType="begin" w:fldLock="0"/>
      </w:r>
      <w:r>
        <w:rPr>
          <w:rStyle w:val="Hyperlink.3"/>
        </w:rPr>
        <w:instrText xml:space="preserve"> HYPERLINK "https://clinicaltrials.gov/ct2/show/NCT03343626"</w:instrText>
      </w:r>
      <w:r>
        <w:rPr>
          <w:rStyle w:val="Hyperlink.3"/>
        </w:rPr>
        <w:fldChar w:fldCharType="separate" w:fldLock="0"/>
      </w:r>
      <w:r>
        <w:rPr>
          <w:rStyle w:val="Hyperlink.3"/>
          <w:rtl w:val="0"/>
          <w:lang w:val="en-US"/>
        </w:rPr>
        <w:t>Safety, Immunogenicity and Dose Ranging Study of Inactivated Zika Virus Vaccine in Healthy Adult Participants</w:t>
      </w:r>
      <w:r>
        <w:rPr/>
        <w:fldChar w:fldCharType="end" w:fldLock="0"/>
      </w:r>
      <w:r>
        <w:rPr>
          <w:rFonts w:ascii="Times New Roman" w:hAnsi="Times New Roman"/>
          <w:rtl w:val="0"/>
          <w:lang w:val="en-US"/>
        </w:rPr>
        <w:t>. 2019. Retrieved November 2019.</w:t>
      </w:r>
    </w:p>
  </w:endnote>
  <w:endnote w:id="3">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ClinicalTrials.gov. </w:t>
      </w:r>
      <w:r>
        <w:rPr>
          <w:rStyle w:val="Hyperlink.3"/>
        </w:rPr>
        <w:fldChar w:fldCharType="begin" w:fldLock="0"/>
      </w:r>
      <w:r>
        <w:rPr>
          <w:rStyle w:val="Hyperlink.3"/>
        </w:rPr>
        <w:instrText xml:space="preserve"> HYPERLINK "https://clinicaltrials.gov/ct2/show/NCT02747927?term=den-301&amp;rank=1"</w:instrText>
      </w:r>
      <w:r>
        <w:rPr>
          <w:rStyle w:val="Hyperlink.3"/>
        </w:rPr>
        <w:fldChar w:fldCharType="separate" w:fldLock="0"/>
      </w:r>
      <w:r>
        <w:rPr>
          <w:rStyle w:val="Hyperlink.3"/>
          <w:rtl w:val="0"/>
          <w:lang w:val="en-US"/>
        </w:rPr>
        <w:t>Efficacy, Safety and Immunogenicity of Takeda's Tetravalent Dengue Vaccine (TDV) in Healthy Children (TIDES)</w:t>
      </w:r>
      <w:r>
        <w:rPr/>
        <w:fldChar w:fldCharType="end" w:fldLock="0"/>
      </w:r>
      <w:r>
        <w:rPr>
          <w:rFonts w:ascii="Times New Roman" w:hAnsi="Times New Roman"/>
          <w:rtl w:val="0"/>
          <w:lang w:val="en-US"/>
        </w:rPr>
        <w:t>. 2019. Retrieved November 2019.</w:t>
      </w:r>
    </w:p>
  </w:endnote>
  <w:endnote w:id="4">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fr-FR"/>
        </w:rPr>
        <w:t xml:space="preserve"> Huang CY-H, et al. </w:t>
      </w:r>
      <w:r>
        <w:rPr>
          <w:rStyle w:val="Hyperlink.4"/>
          <w:rFonts w:ascii="Times New Roman" w:cs="Times New Roman" w:hAnsi="Times New Roman" w:eastAsia="Times New Roman"/>
          <w:lang w:val="en-US"/>
        </w:rPr>
        <w:fldChar w:fldCharType="begin" w:fldLock="0"/>
      </w:r>
      <w:r>
        <w:rPr>
          <w:rStyle w:val="Hyperlink.4"/>
          <w:rFonts w:ascii="Times New Roman" w:cs="Times New Roman" w:hAnsi="Times New Roman" w:eastAsia="Times New Roman"/>
          <w:lang w:val="en-US"/>
        </w:rPr>
        <w:instrText xml:space="preserve"> HYPERLINK "https://www.ncbi.nlm.nih.gov/pmc/articles/PMC3667780/"</w:instrText>
      </w:r>
      <w:r>
        <w:rPr>
          <w:rStyle w:val="Hyperlink.4"/>
          <w:rFonts w:ascii="Times New Roman" w:cs="Times New Roman" w:hAnsi="Times New Roman" w:eastAsia="Times New Roman"/>
          <w:lang w:val="en-US"/>
        </w:rPr>
        <w:fldChar w:fldCharType="separate" w:fldLock="0"/>
      </w:r>
      <w:r>
        <w:rPr>
          <w:rStyle w:val="Hyperlink.4"/>
          <w:rFonts w:ascii="Times New Roman" w:hAnsi="Times New Roman"/>
          <w:rtl w:val="0"/>
          <w:lang w:val="en-US"/>
        </w:rPr>
        <w:t xml:space="preserve">Genetic and phenotypic characterization of manufacturing seeds for tetravalent dengue vaccine (DENVax). </w:t>
      </w:r>
      <w:r>
        <w:rPr/>
        <w:fldChar w:fldCharType="end" w:fldLock="0"/>
      </w:r>
      <w:r>
        <w:rPr>
          <w:rFonts w:ascii="Times New Roman" w:hAnsi="Times New Roman"/>
          <w:i w:val="1"/>
          <w:iCs w:val="1"/>
          <w:rtl w:val="0"/>
          <w:lang w:val="fr-FR"/>
        </w:rPr>
        <w:t>PLoS Negl Trop Dis</w:t>
      </w:r>
      <w:r>
        <w:rPr>
          <w:rFonts w:ascii="Times New Roman" w:hAnsi="Times New Roman"/>
          <w:rtl w:val="0"/>
          <w:lang w:val="fr-FR"/>
        </w:rPr>
        <w:t>. 2013;7:e2243. Retrieved November 2019.</w:t>
      </w:r>
    </w:p>
  </w:endnote>
  <w:endnote w:id="5">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fr-FR"/>
        </w:rPr>
        <w:t xml:space="preserve"> S</w:t>
      </w:r>
      <w:r>
        <w:rPr>
          <w:rFonts w:ascii="Times New Roman" w:hAnsi="Times New Roman" w:hint="default"/>
          <w:rtl w:val="0"/>
          <w:lang w:val="fr-FR"/>
        </w:rPr>
        <w:t>á</w:t>
      </w:r>
      <w:r>
        <w:rPr>
          <w:rFonts w:ascii="Times New Roman" w:hAnsi="Times New Roman"/>
          <w:rtl w:val="0"/>
          <w:lang w:val="fr-FR"/>
        </w:rPr>
        <w:t>ez-Llorens X, Tricou V, et al.</w:t>
      </w:r>
      <w:r>
        <w:rPr>
          <w:rFonts w:ascii="Century" w:cs="Century" w:hAnsi="Century" w:eastAsia="Century"/>
          <w:sz w:val="21"/>
          <w:szCs w:val="21"/>
          <w:rtl w:val="0"/>
          <w:lang w:val="fr-FR"/>
        </w:rPr>
        <w:t xml:space="preserve"> </w:t>
      </w:r>
      <w:r>
        <w:rPr>
          <w:rStyle w:val="Hyperlink.4"/>
          <w:rFonts w:ascii="Times New Roman" w:cs="Times New Roman" w:hAnsi="Times New Roman" w:eastAsia="Times New Roman"/>
          <w:lang w:val="en-US"/>
        </w:rPr>
        <w:fldChar w:fldCharType="begin" w:fldLock="0"/>
      </w:r>
      <w:r>
        <w:rPr>
          <w:rStyle w:val="Hyperlink.4"/>
          <w:rFonts w:ascii="Times New Roman" w:cs="Times New Roman" w:hAnsi="Times New Roman" w:eastAsia="Times New Roman"/>
          <w:lang w:val="en-US"/>
        </w:rPr>
        <w:instrText xml:space="preserve"> HYPERLINK "https://www.ncbi.nlm.nih.gov/pubmed/28365225"</w:instrText>
      </w:r>
      <w:r>
        <w:rPr>
          <w:rStyle w:val="Hyperlink.4"/>
          <w:rFonts w:ascii="Times New Roman" w:cs="Times New Roman" w:hAnsi="Times New Roman" w:eastAsia="Times New Roman"/>
          <w:lang w:val="en-US"/>
        </w:rPr>
        <w:fldChar w:fldCharType="separate" w:fldLock="0"/>
      </w:r>
      <w:r>
        <w:rPr>
          <w:rStyle w:val="Hyperlink.4"/>
          <w:rFonts w:ascii="Times New Roman" w:hAnsi="Times New Roman"/>
          <w:rtl w:val="0"/>
          <w:lang w:val="en-US"/>
        </w:rPr>
        <w:t>Safety and immunogenicity of one versus two doses of Takeda's tetravalent dengue vaccine: Interim results of a long-term phase 2, randomized, placebo-controlled pediatric trial in Asia and Latin America</w:t>
      </w:r>
      <w:r>
        <w:rPr/>
        <w:fldChar w:fldCharType="end" w:fldLock="0"/>
      </w:r>
      <w:r>
        <w:rPr>
          <w:rFonts w:ascii="Times New Roman" w:hAnsi="Times New Roman"/>
          <w:rtl w:val="0"/>
          <w:lang w:val="en-US"/>
        </w:rPr>
        <w:t>.</w:t>
      </w:r>
      <w:r>
        <w:rPr>
          <w:rFonts w:ascii="Times New Roman" w:hAnsi="Times New Roman" w:hint="default"/>
          <w:rtl w:val="0"/>
          <w:lang w:val="en-US"/>
        </w:rPr>
        <w:t> </w:t>
      </w:r>
      <w:r>
        <w:rPr>
          <w:rFonts w:ascii="Times New Roman" w:hAnsi="Times New Roman"/>
          <w:i w:val="1"/>
          <w:iCs w:val="1"/>
          <w:rtl w:val="0"/>
          <w:lang w:val="en-US"/>
        </w:rPr>
        <w:t>Lancet Infect Dis</w:t>
      </w:r>
      <w:r>
        <w:rPr>
          <w:rFonts w:ascii="Times New Roman" w:hAnsi="Times New Roman"/>
          <w:rtl w:val="0"/>
          <w:lang w:val="en-US"/>
        </w:rPr>
        <w:t>. 2017;17:615-625. Retrieved November 2019.</w:t>
      </w:r>
    </w:p>
  </w:endnote>
  <w:endnote w:id="6">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Osorio, JE, et al. </w:t>
      </w:r>
      <w:r>
        <w:rPr>
          <w:rStyle w:val="Hyperlink.3"/>
        </w:rPr>
        <w:fldChar w:fldCharType="begin" w:fldLock="0"/>
      </w:r>
      <w:r>
        <w:rPr>
          <w:rStyle w:val="Hyperlink.3"/>
        </w:rPr>
        <w:instrText xml:space="preserve"> HYPERLINK "https://www.ncbi.nlm.nih.gov/pubmed/25087476"</w:instrText>
      </w:r>
      <w:r>
        <w:rPr>
          <w:rStyle w:val="Hyperlink.3"/>
        </w:rPr>
        <w:fldChar w:fldCharType="separate" w:fldLock="0"/>
      </w:r>
      <w:r>
        <w:rPr>
          <w:rStyle w:val="Hyperlink.3"/>
          <w:rtl w:val="0"/>
          <w:lang w:val="en-US"/>
        </w:rPr>
        <w:t>Safety and immunogenicity of a recombinant live attenuated tetravalent dengue vaccine (DENVax) in flavivirus-naive healthy adults in Colombia: a randomised, placebo-controlled, phase 1 study.</w:t>
      </w:r>
      <w:r>
        <w:rPr/>
        <w:fldChar w:fldCharType="end" w:fldLock="0"/>
      </w:r>
      <w:r>
        <w:rPr>
          <w:rFonts w:ascii="Times New Roman" w:hAnsi="Times New Roman"/>
          <w:rtl w:val="0"/>
          <w:lang w:val="en-US"/>
        </w:rPr>
        <w:t xml:space="preserve"> </w:t>
      </w:r>
      <w:r>
        <w:rPr>
          <w:rFonts w:ascii="Times New Roman" w:hAnsi="Times New Roman"/>
          <w:i w:val="1"/>
          <w:iCs w:val="1"/>
          <w:rtl w:val="0"/>
          <w:lang w:val="en-US"/>
        </w:rPr>
        <w:t>Lancet Infect Dis</w:t>
      </w:r>
      <w:r>
        <w:rPr>
          <w:rFonts w:ascii="Times New Roman" w:hAnsi="Times New Roman"/>
          <w:rtl w:val="0"/>
          <w:lang w:val="en-US"/>
        </w:rPr>
        <w:t>. 2014;14:P830-838. Retrieved November 2019.</w:t>
      </w:r>
    </w:p>
  </w:endnote>
  <w:endnote w:id="7">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Wallace D. Persistence of neutralizing antibodies one year after two doses of a candidate recombinant tetravalent dengue vaccine in subjects aged from 1.5 to 45 years. Presented at 64th Annual Meeting, American Society of Tropical Medicine and Hygiene; October 2016; Philadelphia, Pa.</w:t>
      </w:r>
    </w:p>
  </w:endnote>
  <w:endnote w:id="8">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fr-FR"/>
        </w:rPr>
        <w:t xml:space="preserve"> Saez-Llorens X, et al. </w:t>
      </w:r>
      <w:r>
        <w:rPr>
          <w:rFonts w:ascii="Times New Roman" w:hAnsi="Times New Roman"/>
          <w:rtl w:val="0"/>
          <w:lang w:val="en-US"/>
        </w:rPr>
        <w:t>Phase II, double-blind, controlled trial to assess the safety and immunogenicity of different schedules of Takeda</w:t>
      </w:r>
      <w:r>
        <w:rPr>
          <w:rFonts w:ascii="Times New Roman" w:hAnsi="Times New Roman" w:hint="default"/>
          <w:rtl w:val="0"/>
          <w:lang w:val="en-US"/>
        </w:rPr>
        <w:t>’</w:t>
      </w:r>
      <w:r>
        <w:rPr>
          <w:rFonts w:ascii="Times New Roman" w:hAnsi="Times New Roman"/>
          <w:rtl w:val="0"/>
          <w:lang w:val="en-US"/>
        </w:rPr>
        <w:t>s Tetravalent Dengue Vaccine Candidate (TDV) in healthy subjects aged between 2 and &lt;18 years and living in dengue endemic countries in Asia and Latin America. Presented at 5th Pan-American Dengue Research Network Meeting; April 2016; Galveston, Texas.</w:t>
      </w:r>
    </w:p>
  </w:endnote>
  <w:endnote w:id="9">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World Health Organization. Factsheet. </w:t>
      </w:r>
      <w:r>
        <w:rPr>
          <w:rStyle w:val="Hyperlink.3"/>
        </w:rPr>
        <w:fldChar w:fldCharType="begin" w:fldLock="0"/>
      </w:r>
      <w:r>
        <w:rPr>
          <w:rStyle w:val="Hyperlink.3"/>
        </w:rPr>
        <w:instrText xml:space="preserve"> HYPERLINK "http://www.who.int/en/news-room/fact-sheets/detail/dengue-and-severe-dengue"</w:instrText>
      </w:r>
      <w:r>
        <w:rPr>
          <w:rStyle w:val="Hyperlink.3"/>
        </w:rPr>
        <w:fldChar w:fldCharType="separate" w:fldLock="0"/>
      </w:r>
      <w:r>
        <w:rPr>
          <w:rStyle w:val="Hyperlink.3"/>
          <w:rtl w:val="0"/>
          <w:lang w:val="en-US"/>
        </w:rPr>
        <w:t>Dengue and Severe Dengue</w:t>
      </w:r>
      <w:r>
        <w:rPr/>
        <w:fldChar w:fldCharType="end" w:fldLock="0"/>
      </w:r>
      <w:r>
        <w:rPr>
          <w:rFonts w:ascii="Times New Roman" w:hAnsi="Times New Roman"/>
          <w:rtl w:val="0"/>
          <w:lang w:val="en-US"/>
        </w:rPr>
        <w:t>. April 2019. Retrieved November 2019.</w:t>
      </w:r>
    </w:p>
  </w:endnote>
  <w:endnote w:id="10">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World Health Organization. </w:t>
      </w:r>
      <w:r>
        <w:rPr>
          <w:rStyle w:val="Hyperlink.3"/>
        </w:rPr>
        <w:fldChar w:fldCharType="begin" w:fldLock="0"/>
      </w:r>
      <w:r>
        <w:rPr>
          <w:rStyle w:val="Hyperlink.3"/>
        </w:rPr>
        <w:instrText xml:space="preserve"> HYPERLINK "https://www.who.int/emergencies/ten-threats-to-global-health-in-2019"</w:instrText>
      </w:r>
      <w:r>
        <w:rPr>
          <w:rStyle w:val="Hyperlink.3"/>
        </w:rPr>
        <w:fldChar w:fldCharType="separate" w:fldLock="0"/>
      </w:r>
      <w:r>
        <w:rPr>
          <w:rStyle w:val="Hyperlink.3"/>
          <w:rtl w:val="0"/>
          <w:lang w:val="en-US"/>
        </w:rPr>
        <w:t>Ten threats to global health in 2019</w:t>
      </w:r>
      <w:r>
        <w:rPr/>
        <w:fldChar w:fldCharType="end" w:fldLock="0"/>
      </w:r>
      <w:r>
        <w:rPr>
          <w:rFonts w:ascii="Times New Roman" w:hAnsi="Times New Roman"/>
          <w:rtl w:val="0"/>
          <w:lang w:val="en-US"/>
        </w:rPr>
        <w:t>. 2019. Retrieved November 2019.</w:t>
      </w:r>
    </w:p>
  </w:endnote>
  <w:endnote w:id="11">
    <w:p>
      <w:pPr>
        <w:pStyle w:val="endnote text"/>
        <w:ind w:left="270" w:hanging="27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Guzman MG, et al. </w:t>
      </w:r>
      <w:r>
        <w:rPr>
          <w:rStyle w:val="Hyperlink.3"/>
        </w:rPr>
        <w:fldChar w:fldCharType="begin" w:fldLock="0"/>
      </w:r>
      <w:r>
        <w:rPr>
          <w:rStyle w:val="Hyperlink.3"/>
        </w:rPr>
        <w:instrText xml:space="preserve"> HYPERLINK "http://www.nature.com/nrmicro/journal/v8/n12_supp/full/nrmicro2460.html"</w:instrText>
      </w:r>
      <w:r>
        <w:rPr>
          <w:rStyle w:val="Hyperlink.3"/>
        </w:rPr>
        <w:fldChar w:fldCharType="separate" w:fldLock="0"/>
      </w:r>
      <w:r>
        <w:rPr>
          <w:rStyle w:val="Hyperlink.3"/>
          <w:rtl w:val="0"/>
          <w:lang w:val="en-US"/>
        </w:rPr>
        <w:t>Dengue: a continuing global threat</w:t>
      </w:r>
      <w:r>
        <w:rPr/>
        <w:fldChar w:fldCharType="end" w:fldLock="0"/>
      </w:r>
      <w:r>
        <w:rPr>
          <w:rFonts w:ascii="Times New Roman" w:hAnsi="Times New Roman"/>
          <w:rtl w:val="0"/>
          <w:lang w:val="en-US"/>
        </w:rPr>
        <w:t xml:space="preserve">. </w:t>
      </w:r>
      <w:r>
        <w:rPr>
          <w:rFonts w:ascii="Times New Roman" w:hAnsi="Times New Roman"/>
          <w:i w:val="1"/>
          <w:iCs w:val="1"/>
          <w:rtl w:val="0"/>
          <w:lang w:val="en-US"/>
        </w:rPr>
        <w:t>Nature Reviews Microbiology</w:t>
      </w:r>
      <w:r>
        <w:rPr>
          <w:rFonts w:ascii="Times New Roman" w:hAnsi="Times New Roman"/>
          <w:rtl w:val="0"/>
          <w:lang w:val="en-US"/>
        </w:rPr>
        <w:t>. 2010;8:S7-S16. Retrieved November 2019.</w:t>
      </w:r>
    </w:p>
  </w:endnote>
  <w:endnote w:id="12">
    <w:p>
      <w:pPr>
        <w:pStyle w:val="endnote text"/>
        <w:ind w:left="270" w:hanging="27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Knowlton K, et al. </w:t>
      </w:r>
      <w:r>
        <w:rPr>
          <w:rStyle w:val="Hyperlink.3"/>
        </w:rPr>
        <w:fldChar w:fldCharType="begin" w:fldLock="0"/>
      </w:r>
      <w:r>
        <w:rPr>
          <w:rStyle w:val="Hyperlink.3"/>
        </w:rPr>
        <w:instrText xml:space="preserve"> HYPERLINK "https://www.researchgate.net/publication/242738128_Mosquito-Borne_Dengue_Fever_Threat_Spreading_in_the_Americas"</w:instrText>
      </w:r>
      <w:r>
        <w:rPr>
          <w:rStyle w:val="Hyperlink.3"/>
        </w:rPr>
        <w:fldChar w:fldCharType="separate" w:fldLock="0"/>
      </w:r>
      <w:r>
        <w:rPr>
          <w:rStyle w:val="Hyperlink.3"/>
          <w:rtl w:val="0"/>
          <w:lang w:val="en-US"/>
        </w:rPr>
        <w:t>Mosquito-Borne Dengue Fever Threat Spreading in the Americas</w:t>
      </w:r>
      <w:r>
        <w:rPr/>
        <w:fldChar w:fldCharType="end" w:fldLock="0"/>
      </w:r>
      <w:r>
        <w:rPr>
          <w:rFonts w:ascii="Times New Roman" w:hAnsi="Times New Roman"/>
          <w:rtl w:val="0"/>
          <w:lang w:val="en-US"/>
        </w:rPr>
        <w:t>. The Natural Resources Defense Council (NRDC). 2009. Retrieved November 2019.</w:t>
      </w:r>
    </w:p>
  </w:endnote>
  <w:endnote w:id="13">
    <w:p>
      <w:pPr>
        <w:pStyle w:val="endnote text"/>
        <w:ind w:left="270" w:hanging="27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Chan E, et al. </w:t>
      </w:r>
      <w:r>
        <w:rPr>
          <w:rStyle w:val="Hyperlink.3"/>
        </w:rPr>
        <w:fldChar w:fldCharType="begin" w:fldLock="0"/>
      </w:r>
      <w:r>
        <w:rPr>
          <w:rStyle w:val="Hyperlink.3"/>
        </w:rPr>
        <w:instrText xml:space="preserve"> HYPERLINK "https://journals.plos.org/plosntds/article?id=10.1371/journal.pntd.0001206"</w:instrText>
      </w:r>
      <w:r>
        <w:rPr>
          <w:rStyle w:val="Hyperlink.3"/>
        </w:rPr>
        <w:fldChar w:fldCharType="separate" w:fldLock="0"/>
      </w:r>
      <w:r>
        <w:rPr>
          <w:rStyle w:val="Hyperlink.3"/>
          <w:rtl w:val="0"/>
          <w:lang w:val="en-US"/>
        </w:rPr>
        <w:t>Using web search query data to monitor dengue epidemics: a new model for neglected tropical disease surveillance</w:t>
      </w:r>
      <w:r>
        <w:rPr/>
        <w:fldChar w:fldCharType="end" w:fldLock="0"/>
      </w:r>
      <w:r>
        <w:rPr>
          <w:rFonts w:ascii="Times New Roman" w:hAnsi="Times New Roman"/>
          <w:rtl w:val="0"/>
          <w:lang w:val="en-US"/>
        </w:rPr>
        <w:t xml:space="preserve">. </w:t>
      </w:r>
      <w:r>
        <w:rPr>
          <w:rFonts w:ascii="Times New Roman" w:hAnsi="Times New Roman"/>
          <w:i w:val="1"/>
          <w:iCs w:val="1"/>
          <w:rtl w:val="0"/>
          <w:lang w:val="en-US"/>
        </w:rPr>
        <w:t>PLoS Negl Trop Dis</w:t>
      </w:r>
      <w:r>
        <w:rPr>
          <w:rFonts w:ascii="Times New Roman" w:hAnsi="Times New Roman"/>
          <w:rtl w:val="0"/>
          <w:lang w:val="en-US"/>
        </w:rPr>
        <w:t>. 2011;5:e1206. Retrieved November 2019.</w:t>
      </w:r>
    </w:p>
  </w:endnote>
  <w:endnote w:id="14">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World Health Organization. Factsheet. </w:t>
      </w:r>
      <w:r>
        <w:rPr>
          <w:rStyle w:val="Hyperlink.3"/>
        </w:rPr>
        <w:fldChar w:fldCharType="begin" w:fldLock="0"/>
      </w:r>
      <w:r>
        <w:rPr>
          <w:rStyle w:val="Hyperlink.3"/>
        </w:rPr>
        <w:instrText xml:space="preserve"> HYPERLINK "http://www.searo.who.int/entity/vector_borne_tropical_diseases/data/data_factsheet/en/"</w:instrText>
      </w:r>
      <w:r>
        <w:rPr>
          <w:rStyle w:val="Hyperlink.3"/>
        </w:rPr>
        <w:fldChar w:fldCharType="separate" w:fldLock="0"/>
      </w:r>
      <w:r>
        <w:rPr>
          <w:rStyle w:val="Hyperlink.3"/>
          <w:rtl w:val="0"/>
          <w:lang w:val="en-US"/>
        </w:rPr>
        <w:t>Dengue</w:t>
      </w:r>
      <w:r>
        <w:rPr/>
        <w:fldChar w:fldCharType="end" w:fldLock="0"/>
      </w:r>
      <w:r>
        <w:rPr>
          <w:rFonts w:ascii="Times New Roman" w:hAnsi="Times New Roman"/>
          <w:rtl w:val="0"/>
          <w:lang w:val="en-US"/>
        </w:rPr>
        <w:t>. 2019. Retrieved November 2019.</w:t>
      </w:r>
    </w:p>
  </w:endnote>
  <w:endnote w:id="15">
    <w:p>
      <w:pPr>
        <w:pStyle w:val="endnote text"/>
        <w:ind w:left="180" w:hanging="180"/>
      </w:pPr>
      <w:r>
        <w:rPr>
          <w:rFonts w:ascii="Times New Roman" w:cs="Times New Roman" w:hAnsi="Times New Roman" w:eastAsia="Times New Roman"/>
          <w:sz w:val="22"/>
          <w:szCs w:val="22"/>
          <w:vertAlign w:val="superscript"/>
        </w:rPr>
        <w:endnoteRef/>
      </w:r>
      <w:r>
        <w:rPr>
          <w:rFonts w:ascii="Times New Roman" w:hAnsi="Times New Roman"/>
          <w:rtl w:val="0"/>
          <w:lang w:val="en-US"/>
        </w:rPr>
        <w:t xml:space="preserve"> UNICEF. </w:t>
      </w:r>
      <w:r>
        <w:rPr>
          <w:rStyle w:val="Hyperlink.3"/>
        </w:rPr>
        <w:fldChar w:fldCharType="begin" w:fldLock="0"/>
      </w:r>
      <w:r>
        <w:rPr>
          <w:rStyle w:val="Hyperlink.3"/>
        </w:rPr>
        <w:instrText xml:space="preserve"> HYPERLINK "https://data.unicef.org/topic/child-health/immunization/"</w:instrText>
      </w:r>
      <w:r>
        <w:rPr>
          <w:rStyle w:val="Hyperlink.3"/>
        </w:rPr>
        <w:fldChar w:fldCharType="separate" w:fldLock="0"/>
      </w:r>
      <w:r>
        <w:rPr>
          <w:rStyle w:val="Hyperlink.3"/>
          <w:rtl w:val="0"/>
          <w:lang w:val="en-US"/>
        </w:rPr>
        <w:t>Vaccination and Immunization Statistics</w:t>
      </w:r>
      <w:r>
        <w:rPr/>
        <w:fldChar w:fldCharType="end" w:fldLock="0"/>
      </w:r>
      <w:r>
        <w:rPr>
          <w:rFonts w:ascii="Times New Roman" w:hAnsi="Times New Roman"/>
          <w:rtl w:val="0"/>
          <w:lang w:val="en-US"/>
        </w:rPr>
        <w:t>. 2019. Retrieved November 2019.</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w:charset w:val="00"/>
    <w:family w:val="roman"/>
    <w:pitch w:val="default"/>
  </w:font>
  <w:font w:name="Calibri">
    <w:charset w:val="00"/>
    <w:family w:val="roman"/>
    <w:pitch w:val="default"/>
  </w:font>
  <w:font w:name="Times">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5</w:t>
    </w:r>
    <w:r>
      <w:rPr/>
      <w:fldChar w:fldCharType="end" w:fldLock="0"/>
    </w:r>
  </w:p>
  <w:p>
    <w:pPr>
      <w:pStyle w:val="footer"/>
    </w:pPr>
  </w:p>
  <w:p>
    <w:pPr>
      <w:pStyle w:val="Norm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w:t>
    </w:r>
    <w:r>
      <w:rPr>
        <w:rFonts w:ascii="Times New Roman" w:cs="Times New Roman" w:hAnsi="Times New Roman" w:eastAsia="Times New Roman"/>
        <w:sz w:val="20"/>
        <w:szCs w:val="20"/>
        <w:rtl w:val="0"/>
      </w:rPr>
      <w:fldChar w:fldCharType="end" w:fldLock="0"/>
    </w:r>
  </w:p>
  <w:p>
    <w:pPr>
      <w:pStyle w:val="footer"/>
    </w:pPr>
  </w:p>
  <w:p>
    <w:pPr>
      <w:pStyle w:val="Norm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6737"/>
        <w:tab w:val="clear" w:pos="4252"/>
        <w:tab w:val="clear" w:pos="8504"/>
      </w:tabs>
    </w:pPr>
    <w:r>
      <mc:AlternateContent>
        <mc:Choice Requires="wps">
          <w:drawing>
            <wp:anchor distT="152400" distB="152400" distL="152400" distR="152400" simplePos="0" relativeHeight="251658240" behindDoc="1" locked="0" layoutInCell="1" allowOverlap="1">
              <wp:simplePos x="0" y="0"/>
              <wp:positionH relativeFrom="page">
                <wp:posOffset>4484370</wp:posOffset>
              </wp:positionH>
              <wp:positionV relativeFrom="page">
                <wp:posOffset>668019</wp:posOffset>
              </wp:positionV>
              <wp:extent cx="2465070" cy="289559"/>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465070" cy="289559"/>
                      </a:xfrm>
                      <a:prstGeom prst="rect">
                        <a:avLst/>
                      </a:prstGeom>
                      <a:noFill/>
                      <a:ln w="12700" cap="flat">
                        <a:noFill/>
                        <a:miter lim="400000"/>
                      </a:ln>
                      <a:effectLst/>
                    </wps:spPr>
                    <wps:txbx>
                      <w:txbxContent>
                        <w:p>
                          <w:pPr>
                            <w:pStyle w:val="Normal.0"/>
                            <w:ind w:right="24"/>
                            <w:jc w:val="right"/>
                          </w:pPr>
                          <w:r>
                            <w:rPr>
                              <w:rFonts w:ascii="Arial" w:hAnsi="Arial"/>
                              <w:sz w:val="24"/>
                              <w:szCs w:val="24"/>
                              <w:rtl w:val="0"/>
                              <w:lang w:val="en-US"/>
                            </w:rPr>
                            <w:t>Better Health, Brighter Future</w:t>
                          </w:r>
                        </w:p>
                      </w:txbxContent>
                    </wps:txbx>
                    <wps:bodyPr wrap="square" lIns="45719" tIns="45719" rIns="45719" bIns="45719" numCol="1" anchor="t">
                      <a:noAutofit/>
                    </wps:bodyPr>
                  </wps:wsp>
                </a:graphicData>
              </a:graphic>
            </wp:anchor>
          </w:drawing>
        </mc:Choice>
        <mc:Fallback>
          <w:pict>
            <v:rect id="_x0000_s1027" style="visibility:visible;position:absolute;margin-left:353.1pt;margin-top:52.6pt;width:194.1pt;height:2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ind w:right="24"/>
                      <w:jc w:val="right"/>
                    </w:pPr>
                    <w:r>
                      <w:rPr>
                        <w:rFonts w:ascii="Arial" w:hAnsi="Arial"/>
                        <w:sz w:val="24"/>
                        <w:szCs w:val="24"/>
                        <w:rtl w:val="0"/>
                        <w:lang w:val="en-US"/>
                      </w:rPr>
                      <w:t>Better Health, Brighter Future</w:t>
                    </w:r>
                  </w:p>
                </w:txbxContent>
              </v:textbox>
              <w10:wrap type="none" side="bothSides" anchorx="page" anchory="page"/>
            </v:rect>
          </w:pict>
        </mc:Fallback>
      </mc:AlternateContent>
    </w:r>
    <w:r>
      <w:drawing>
        <wp:anchor distT="152400" distB="152400" distL="152400" distR="152400" simplePos="0" relativeHeight="251659264" behindDoc="1" locked="0" layoutInCell="1" allowOverlap="1">
          <wp:simplePos x="0" y="0"/>
          <wp:positionH relativeFrom="page">
            <wp:posOffset>105757</wp:posOffset>
          </wp:positionH>
          <wp:positionV relativeFrom="page">
            <wp:posOffset>318551</wp:posOffset>
          </wp:positionV>
          <wp:extent cx="1766037" cy="1032206"/>
          <wp:effectExtent l="0" t="0" r="0" b="0"/>
          <wp:wrapNone/>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1">
                    <a:extLst/>
                  </a:blip>
                  <a:stretch>
                    <a:fillRect/>
                  </a:stretch>
                </pic:blipFill>
                <pic:spPr>
                  <a:xfrm>
                    <a:off x="0" y="0"/>
                    <a:ext cx="1766037" cy="1032206"/>
                  </a:xfrm>
                  <a:prstGeom prst="rect">
                    <a:avLst/>
                  </a:prstGeom>
                  <a:ln w="12700" cap="flat">
                    <a:noFill/>
                    <a:miter lim="400000"/>
                  </a:ln>
                  <a:effectLst/>
                </pic:spPr>
              </pic:pic>
            </a:graphicData>
          </a:graphic>
        </wp:anchor>
      </w:drawing>
    </w:r>
    <w:r>
      <w:tab/>
    </w:r>
  </w:p>
  <w:p>
    <w:pPr>
      <w:pStyle w:val="header"/>
    </w:pPr>
  </w:p>
  <w:p>
    <w:pPr>
      <w:pStyle w:val="header"/>
    </w:pPr>
  </w:p>
  <w:p>
    <w:pPr>
      <w:pStyle w:val="Norm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bullet"/>
      <w:suff w:val="tab"/>
      <w:lvlText w:val="−"/>
      <w:lvlJc w:val="left"/>
      <w:pPr>
        <w:ind w:left="420" w:hanging="42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9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39"/>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header">
    <w:name w:val="header"/>
    <w:next w:val="header"/>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Imported Style 4">
    <w:name w:val="Imported Style 4"/>
    <w:pPr>
      <w:numPr>
        <w:numId w:val="1"/>
      </w:numPr>
    </w:p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pacing w:val="10"/>
      <w:sz w:val="22"/>
      <w:szCs w:val="22"/>
    </w:rPr>
  </w:style>
  <w:style w:type="character" w:styleId="Hyperlink.1">
    <w:name w:val="Hyperlink.1"/>
    <w:basedOn w:val="Link"/>
    <w:next w:val="Hyperlink.1"/>
    <w:rPr>
      <w:rFonts w:ascii="Times New Roman" w:cs="Times New Roman" w:hAnsi="Times New Roman" w:eastAsia="Times New Roman"/>
      <w:sz w:val="22"/>
      <w:szCs w:val="22"/>
    </w:rPr>
  </w:style>
  <w:style w:type="character" w:styleId="Hyperlink.2">
    <w:name w:val="Hyperlink.2"/>
    <w:basedOn w:val="Link"/>
    <w:next w:val="Hyperlink.2"/>
    <w:rPr>
      <w:rFonts w:ascii="Times New Roman" w:cs="Times New Roman" w:hAnsi="Times New Roman" w:eastAsia="Times New Roman"/>
      <w:i w:val="1"/>
      <w:iCs w:val="1"/>
      <w:sz w:val="22"/>
      <w:szCs w:val="22"/>
    </w:rPr>
  </w:style>
  <w:style w:type="paragraph" w:styleId="endnote text">
    <w:name w:val="endnote text"/>
    <w:next w:val="endnote text"/>
    <w:pPr>
      <w:keepNext w:val="0"/>
      <w:keepLines w:val="1"/>
      <w:pageBreakBefore w:val="0"/>
      <w:widowControl w:val="1"/>
      <w:shd w:val="clear" w:color="auto" w:fill="auto"/>
      <w:suppressAutoHyphens w:val="0"/>
      <w:bidi w:val="0"/>
      <w:spacing w:before="0" w:after="120" w:line="240" w:lineRule="atLeast"/>
      <w:ind w:left="709" w:right="0" w:hanging="709"/>
      <w:jc w:val="left"/>
      <w:outlineLvl w:val="9"/>
    </w:pPr>
    <w:rPr>
      <w:rFonts w:ascii="Bookman Old Style" w:cs="Bookman Old Style" w:hAnsi="Bookman Old Style" w:eastAsia="Bookman Old Style"/>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character" w:styleId="Hyperlink.3">
    <w:name w:val="Hyperlink.3"/>
    <w:basedOn w:val="Link"/>
    <w:next w:val="Hyperlink.3"/>
    <w:rPr>
      <w:rFonts w:ascii="Times New Roman" w:cs="Times New Roman" w:hAnsi="Times New Roman" w:eastAsia="Times New Roman"/>
    </w:rPr>
  </w:style>
  <w:style w:type="character" w:styleId="Hyperlink.4">
    <w:name w:val="Hyperlink.4"/>
    <w:basedOn w:val="Link"/>
    <w:next w:val="Hyperlink.4"/>
    <w:rPr>
      <w:rFonts w:ascii="Times New Roman" w:cs="Times New Roman" w:hAnsi="Times New Roman" w:eastAsia="Times New Roman"/>
      <w:lang w:val="en-US"/>
    </w:rPr>
  </w:style>
  <w:style w:type="character" w:styleId="Hyperlink.5">
    <w:name w:val="Hyperlink.5"/>
    <w:basedOn w:val="Link"/>
    <w:next w:val="Hyperlink.5"/>
    <w:rPr>
      <w:b w:val="0"/>
      <w:bCs w:val="0"/>
      <w:i w:val="0"/>
      <w:iCs w:val="0"/>
      <w:caps w:val="0"/>
      <w:smallCaps w:val="0"/>
      <w:strike w:val="0"/>
      <w:dstrike w:val="0"/>
      <w:outline w:val="0"/>
      <w:spacing w:val="0"/>
      <w:position w:val="0"/>
      <w:vertAlign w:val="baseline"/>
      <w:lang w:val="es-ES_tradnl"/>
    </w:rPr>
  </w:style>
  <w:style w:type="character" w:styleId="Hyperlink.6">
    <w:name w:val="Hyperlink.6"/>
    <w:basedOn w:val="Link"/>
    <w:next w:val="Hyperlink.6"/>
    <w:rPr>
      <w:b w:val="0"/>
      <w:bCs w:val="0"/>
      <w:i w:val="0"/>
      <w:iCs w:val="0"/>
      <w:caps w:val="0"/>
      <w:smallCaps w:val="0"/>
      <w:strike w:val="0"/>
      <w:dstrike w:val="0"/>
      <w:outline w:val="0"/>
      <w:spacing w:val="0"/>
      <w:position w:val="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Helvetica"/>
        <a:ea typeface="Helvetica"/>
        <a:cs typeface="Helvetica"/>
      </a:majorFont>
      <a:minorFont>
        <a:latin typeface="Helvetica"/>
        <a:ea typeface="Helvetica"/>
        <a:cs typeface="Helvetica"/>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